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482" w:rsidRPr="00294889" w:rsidRDefault="00294889">
      <w:pPr>
        <w:rPr>
          <w:b/>
        </w:rPr>
      </w:pPr>
      <w:r w:rsidRPr="00294889">
        <w:rPr>
          <w:b/>
        </w:rPr>
        <w:t>Risk of bias language</w:t>
      </w:r>
    </w:p>
    <w:p w:rsidR="0014152F" w:rsidRDefault="00294889" w:rsidP="0014152F">
      <w:pPr>
        <w:spacing w:after="120" w:line="240" w:lineRule="auto"/>
        <w:rPr>
          <w:rFonts w:eastAsia="Times New Roman" w:cs="Arial"/>
          <w:sz w:val="24"/>
          <w:szCs w:val="24"/>
        </w:rPr>
      </w:pPr>
      <w:r w:rsidRPr="00294889">
        <w:rPr>
          <w:rFonts w:eastAsia="Times New Roman" w:cs="Arial"/>
          <w:sz w:val="24"/>
          <w:szCs w:val="24"/>
        </w:rPr>
        <w:t xml:space="preserve">Standard methods of The Cochrane Collaboration and the Neonatal Review Group were used to assess the methodological quality (to meet the validity criteria) of the trials. For each trial, information was sought regarding the method of randomization, and the blinding and reporting of all outcomes of all the infants enrolled in the trial. Each criterion was assessed as </w:t>
      </w:r>
      <w:r w:rsidR="0014152F">
        <w:rPr>
          <w:rFonts w:eastAsia="Times New Roman" w:cs="Arial"/>
          <w:sz w:val="24"/>
          <w:szCs w:val="24"/>
        </w:rPr>
        <w:t>low, high, or unclear risk</w:t>
      </w:r>
      <w:r w:rsidRPr="00294889">
        <w:rPr>
          <w:rFonts w:eastAsia="Times New Roman" w:cs="Arial"/>
          <w:sz w:val="24"/>
          <w:szCs w:val="24"/>
        </w:rPr>
        <w:t xml:space="preserve">. Two review authors </w:t>
      </w:r>
      <w:r w:rsidR="000B12A9" w:rsidRPr="000B12A9">
        <w:rPr>
          <w:rFonts w:eastAsia="Times New Roman" w:cs="Arial"/>
          <w:sz w:val="24"/>
          <w:szCs w:val="24"/>
          <w:highlight w:val="yellow"/>
        </w:rPr>
        <w:t>(insert initials)</w:t>
      </w:r>
      <w:r w:rsidR="000B12A9">
        <w:rPr>
          <w:rFonts w:eastAsia="Times New Roman" w:cs="Arial"/>
          <w:sz w:val="24"/>
          <w:szCs w:val="24"/>
        </w:rPr>
        <w:t xml:space="preserve"> </w:t>
      </w:r>
      <w:r w:rsidRPr="00294889">
        <w:rPr>
          <w:rFonts w:eastAsia="Times New Roman" w:cs="Arial"/>
          <w:sz w:val="24"/>
          <w:szCs w:val="24"/>
        </w:rPr>
        <w:t xml:space="preserve">separately assessed each study. Any disagreement was resolved by discussion. This information was added to the table </w:t>
      </w:r>
      <w:hyperlink r:id="rId5" w:anchor="CHARACTERISTICS_OF_INCLUDED_STUDIES" w:history="1">
        <w:r w:rsidRPr="00294889">
          <w:rPr>
            <w:rFonts w:eastAsia="Times New Roman" w:cs="Arial"/>
            <w:color w:val="0000FF"/>
            <w:sz w:val="24"/>
            <w:szCs w:val="24"/>
            <w:u w:val="single"/>
          </w:rPr>
          <w:t>Characteristics of included studies</w:t>
        </w:r>
      </w:hyperlink>
      <w:r w:rsidRPr="00294889">
        <w:rPr>
          <w:rFonts w:eastAsia="Times New Roman" w:cs="Arial"/>
          <w:sz w:val="24"/>
          <w:szCs w:val="24"/>
        </w:rPr>
        <w:t xml:space="preserve">. </w:t>
      </w:r>
      <w:r w:rsidR="0014152F">
        <w:rPr>
          <w:rFonts w:eastAsia="Times New Roman" w:cs="Arial"/>
          <w:sz w:val="24"/>
          <w:szCs w:val="24"/>
        </w:rPr>
        <w:t xml:space="preserve">The </w:t>
      </w:r>
      <w:r w:rsidRPr="00294889">
        <w:rPr>
          <w:rFonts w:eastAsia="Times New Roman" w:cs="Arial"/>
          <w:sz w:val="24"/>
          <w:szCs w:val="24"/>
        </w:rPr>
        <w:t>following issues were evaluated and ente</w:t>
      </w:r>
      <w:r w:rsidR="0014152F">
        <w:rPr>
          <w:rFonts w:eastAsia="Times New Roman" w:cs="Arial"/>
          <w:sz w:val="24"/>
          <w:szCs w:val="24"/>
        </w:rPr>
        <w:t>red into the risk of bias table:</w:t>
      </w:r>
      <w:bookmarkStart w:id="0" w:name="_GoBack"/>
      <w:bookmarkEnd w:id="0"/>
    </w:p>
    <w:p w:rsidR="00D0224E" w:rsidRPr="0014152F" w:rsidRDefault="00294889" w:rsidP="0014152F">
      <w:pPr>
        <w:pStyle w:val="ListParagraph"/>
        <w:numPr>
          <w:ilvl w:val="0"/>
          <w:numId w:val="9"/>
        </w:numPr>
        <w:spacing w:after="120" w:line="240" w:lineRule="auto"/>
        <w:rPr>
          <w:rFonts w:eastAsia="Times New Roman" w:cs="Arial"/>
          <w:sz w:val="24"/>
          <w:szCs w:val="24"/>
        </w:rPr>
      </w:pPr>
      <w:r w:rsidRPr="0014152F">
        <w:rPr>
          <w:rFonts w:eastAsia="Times New Roman" w:cs="Arial"/>
          <w:sz w:val="24"/>
          <w:szCs w:val="24"/>
        </w:rPr>
        <w:t>Sequence generation (checking for possible selection bias). Was the allocation sequence adequately generated? </w:t>
      </w:r>
      <w:r w:rsidR="00D0224E" w:rsidRPr="0014152F">
        <w:rPr>
          <w:rFonts w:eastAsia="Times New Roman" w:cs="Arial"/>
          <w:sz w:val="24"/>
          <w:szCs w:val="24"/>
        </w:rPr>
        <w:br/>
      </w:r>
      <w:r w:rsidR="00D0224E" w:rsidRPr="0014152F">
        <w:rPr>
          <w:rFonts w:eastAsia="Times New Roman" w:cs="Arial"/>
          <w:sz w:val="24"/>
          <w:szCs w:val="24"/>
        </w:rPr>
        <w:br/>
      </w:r>
      <w:r w:rsidRPr="0014152F">
        <w:rPr>
          <w:rFonts w:eastAsia="Times New Roman" w:cs="Arial"/>
          <w:sz w:val="24"/>
          <w:szCs w:val="24"/>
        </w:rPr>
        <w:t>For each included study, we categorized the method used to generate the allocation sequence as:  </w:t>
      </w:r>
    </w:p>
    <w:p w:rsidR="00D0224E" w:rsidRDefault="00D0224E" w:rsidP="00D0224E">
      <w:pPr>
        <w:pStyle w:val="ListParagraph"/>
        <w:numPr>
          <w:ilvl w:val="1"/>
          <w:numId w:val="9"/>
        </w:numPr>
        <w:spacing w:after="120" w:line="240" w:lineRule="auto"/>
        <w:rPr>
          <w:rFonts w:eastAsia="Times New Roman" w:cs="Arial"/>
          <w:sz w:val="24"/>
          <w:szCs w:val="24"/>
        </w:rPr>
      </w:pPr>
      <w:r>
        <w:rPr>
          <w:rFonts w:eastAsia="Times New Roman" w:cs="Arial"/>
          <w:sz w:val="24"/>
          <w:szCs w:val="24"/>
        </w:rPr>
        <w:t>low risk</w:t>
      </w:r>
      <w:r w:rsidR="00294889" w:rsidRPr="00D0224E">
        <w:rPr>
          <w:rFonts w:eastAsia="Times New Roman" w:cs="Arial"/>
          <w:sz w:val="24"/>
          <w:szCs w:val="24"/>
        </w:rPr>
        <w:t xml:space="preserve"> (any truly random process e.g. random number table; co</w:t>
      </w:r>
      <w:r>
        <w:rPr>
          <w:rFonts w:eastAsia="Times New Roman" w:cs="Arial"/>
          <w:sz w:val="24"/>
          <w:szCs w:val="24"/>
        </w:rPr>
        <w:t>mputer random number generator);</w:t>
      </w:r>
    </w:p>
    <w:p w:rsidR="00D0224E" w:rsidRDefault="00D0224E" w:rsidP="00D0224E">
      <w:pPr>
        <w:pStyle w:val="ListParagraph"/>
        <w:numPr>
          <w:ilvl w:val="1"/>
          <w:numId w:val="9"/>
        </w:numPr>
        <w:spacing w:after="120" w:line="240" w:lineRule="auto"/>
        <w:rPr>
          <w:rFonts w:eastAsia="Times New Roman" w:cs="Arial"/>
          <w:sz w:val="24"/>
          <w:szCs w:val="24"/>
        </w:rPr>
      </w:pPr>
      <w:r>
        <w:rPr>
          <w:rFonts w:eastAsia="Times New Roman" w:cs="Arial"/>
          <w:sz w:val="24"/>
          <w:szCs w:val="24"/>
        </w:rPr>
        <w:t>high risk (any non-</w:t>
      </w:r>
      <w:r w:rsidR="00294889" w:rsidRPr="00D0224E">
        <w:rPr>
          <w:rFonts w:eastAsia="Times New Roman" w:cs="Arial"/>
          <w:sz w:val="24"/>
          <w:szCs w:val="24"/>
        </w:rPr>
        <w:t>random process e.g. odd or even date of birth; hospital or clinic record number);</w:t>
      </w:r>
    </w:p>
    <w:p w:rsidR="00D0224E" w:rsidRDefault="00294889" w:rsidP="00294889">
      <w:pPr>
        <w:pStyle w:val="ListParagraph"/>
        <w:numPr>
          <w:ilvl w:val="1"/>
          <w:numId w:val="9"/>
        </w:numPr>
        <w:spacing w:after="120" w:line="240" w:lineRule="auto"/>
        <w:rPr>
          <w:rFonts w:eastAsia="Times New Roman" w:cs="Arial"/>
          <w:sz w:val="24"/>
          <w:szCs w:val="24"/>
        </w:rPr>
      </w:pPr>
      <w:r w:rsidRPr="00D0224E">
        <w:rPr>
          <w:rFonts w:eastAsia="Times New Roman" w:cs="Arial"/>
          <w:sz w:val="24"/>
          <w:szCs w:val="24"/>
        </w:rPr>
        <w:t>unclear</w:t>
      </w:r>
      <w:r w:rsidR="00D0224E">
        <w:rPr>
          <w:rFonts w:eastAsia="Times New Roman" w:cs="Arial"/>
          <w:sz w:val="24"/>
          <w:szCs w:val="24"/>
        </w:rPr>
        <w:t xml:space="preserve"> risk</w:t>
      </w:r>
      <w:r w:rsidRPr="00D0224E">
        <w:rPr>
          <w:rFonts w:eastAsia="Times New Roman" w:cs="Arial"/>
          <w:sz w:val="24"/>
          <w:szCs w:val="24"/>
        </w:rPr>
        <w:t>.</w:t>
      </w:r>
      <w:r w:rsidR="00D0224E">
        <w:rPr>
          <w:rFonts w:eastAsia="Times New Roman" w:cs="Arial"/>
          <w:sz w:val="24"/>
          <w:szCs w:val="24"/>
        </w:rPr>
        <w:br/>
      </w:r>
    </w:p>
    <w:p w:rsidR="00D0224E" w:rsidRDefault="00294889" w:rsidP="00D0224E">
      <w:pPr>
        <w:pStyle w:val="ListParagraph"/>
        <w:numPr>
          <w:ilvl w:val="0"/>
          <w:numId w:val="9"/>
        </w:numPr>
        <w:spacing w:after="120" w:line="240" w:lineRule="auto"/>
        <w:rPr>
          <w:rFonts w:eastAsia="Times New Roman" w:cs="Arial"/>
          <w:sz w:val="24"/>
          <w:szCs w:val="24"/>
        </w:rPr>
      </w:pPr>
      <w:r w:rsidRPr="00D0224E">
        <w:rPr>
          <w:rFonts w:eastAsia="Times New Roman" w:cs="Arial"/>
          <w:sz w:val="24"/>
          <w:szCs w:val="24"/>
        </w:rPr>
        <w:t>Allocation concealment (checking for possible selection bias). Was allocation adequately concealed? </w:t>
      </w:r>
      <w:r w:rsidR="00D0224E">
        <w:rPr>
          <w:rFonts w:eastAsia="Times New Roman" w:cs="Arial"/>
          <w:sz w:val="24"/>
          <w:szCs w:val="24"/>
        </w:rPr>
        <w:br/>
      </w:r>
      <w:r w:rsidR="0014152F">
        <w:rPr>
          <w:rFonts w:eastAsia="Times New Roman" w:cs="Arial"/>
          <w:sz w:val="24"/>
          <w:szCs w:val="24"/>
        </w:rPr>
        <w:br/>
      </w:r>
      <w:r w:rsidRPr="00D0224E">
        <w:rPr>
          <w:rFonts w:eastAsia="Times New Roman" w:cs="Arial"/>
          <w:sz w:val="24"/>
          <w:szCs w:val="24"/>
        </w:rPr>
        <w:t>For each included study, we categorized the method used to conceal the allocation sequence as:  </w:t>
      </w:r>
    </w:p>
    <w:p w:rsidR="00D0224E" w:rsidRDefault="00D0224E" w:rsidP="00D0224E">
      <w:pPr>
        <w:pStyle w:val="ListParagraph"/>
        <w:numPr>
          <w:ilvl w:val="1"/>
          <w:numId w:val="9"/>
        </w:numPr>
        <w:spacing w:after="120" w:line="240" w:lineRule="auto"/>
        <w:rPr>
          <w:rFonts w:eastAsia="Times New Roman" w:cs="Arial"/>
          <w:sz w:val="24"/>
          <w:szCs w:val="24"/>
        </w:rPr>
      </w:pPr>
      <w:r>
        <w:rPr>
          <w:rFonts w:eastAsia="Times New Roman" w:cs="Arial"/>
          <w:sz w:val="24"/>
          <w:szCs w:val="24"/>
        </w:rPr>
        <w:t xml:space="preserve">low </w:t>
      </w:r>
      <w:r w:rsidRPr="00D0224E">
        <w:rPr>
          <w:rFonts w:eastAsia="Times New Roman" w:cs="Arial"/>
          <w:sz w:val="24"/>
          <w:szCs w:val="24"/>
        </w:rPr>
        <w:t xml:space="preserve">risk </w:t>
      </w:r>
      <w:r w:rsidR="00294889" w:rsidRPr="00D0224E">
        <w:rPr>
          <w:rFonts w:eastAsia="Times New Roman" w:cs="Arial"/>
          <w:sz w:val="24"/>
          <w:szCs w:val="24"/>
        </w:rPr>
        <w:t>(e.g. telephone or central randomization; consecutively numbered sealed opaque envelopes);</w:t>
      </w:r>
    </w:p>
    <w:p w:rsidR="00D0224E" w:rsidRDefault="00D0224E" w:rsidP="00D0224E">
      <w:pPr>
        <w:pStyle w:val="ListParagraph"/>
        <w:numPr>
          <w:ilvl w:val="1"/>
          <w:numId w:val="9"/>
        </w:numPr>
        <w:spacing w:after="120" w:line="240" w:lineRule="auto"/>
        <w:rPr>
          <w:rFonts w:eastAsia="Times New Roman" w:cs="Arial"/>
          <w:sz w:val="24"/>
          <w:szCs w:val="24"/>
        </w:rPr>
      </w:pPr>
      <w:r>
        <w:rPr>
          <w:rFonts w:eastAsia="Times New Roman" w:cs="Arial"/>
          <w:sz w:val="24"/>
          <w:szCs w:val="24"/>
        </w:rPr>
        <w:t xml:space="preserve">high </w:t>
      </w:r>
      <w:r w:rsidRPr="00D0224E">
        <w:rPr>
          <w:rFonts w:eastAsia="Times New Roman" w:cs="Arial"/>
          <w:sz w:val="24"/>
          <w:szCs w:val="24"/>
        </w:rPr>
        <w:t>risk</w:t>
      </w:r>
      <w:r w:rsidR="00294889" w:rsidRPr="00D0224E">
        <w:rPr>
          <w:rFonts w:eastAsia="Times New Roman" w:cs="Arial"/>
          <w:sz w:val="24"/>
          <w:szCs w:val="24"/>
        </w:rPr>
        <w:t xml:space="preserve"> (open random allocation; unsealed or non-opaque envelopes, alternation; date of birth);</w:t>
      </w:r>
    </w:p>
    <w:p w:rsidR="00D0224E" w:rsidRDefault="00294889" w:rsidP="00294889">
      <w:pPr>
        <w:pStyle w:val="ListParagraph"/>
        <w:numPr>
          <w:ilvl w:val="1"/>
          <w:numId w:val="9"/>
        </w:numPr>
        <w:spacing w:after="120" w:line="240" w:lineRule="auto"/>
        <w:rPr>
          <w:rFonts w:eastAsia="Times New Roman" w:cs="Arial"/>
          <w:sz w:val="24"/>
          <w:szCs w:val="24"/>
        </w:rPr>
      </w:pPr>
      <w:r w:rsidRPr="00D0224E">
        <w:rPr>
          <w:rFonts w:eastAsia="Times New Roman" w:cs="Arial"/>
          <w:sz w:val="24"/>
          <w:szCs w:val="24"/>
        </w:rPr>
        <w:t>unclear</w:t>
      </w:r>
      <w:r w:rsidR="00D0224E">
        <w:rPr>
          <w:rFonts w:eastAsia="Times New Roman" w:cs="Arial"/>
          <w:sz w:val="24"/>
          <w:szCs w:val="24"/>
        </w:rPr>
        <w:t xml:space="preserve"> risk</w:t>
      </w:r>
      <w:r w:rsidRPr="00D0224E">
        <w:rPr>
          <w:rFonts w:eastAsia="Times New Roman" w:cs="Arial"/>
          <w:sz w:val="24"/>
          <w:szCs w:val="24"/>
        </w:rPr>
        <w:t>.</w:t>
      </w:r>
      <w:r w:rsidR="0014152F">
        <w:rPr>
          <w:rFonts w:eastAsia="Times New Roman" w:cs="Arial"/>
          <w:sz w:val="24"/>
          <w:szCs w:val="24"/>
        </w:rPr>
        <w:br/>
      </w:r>
    </w:p>
    <w:p w:rsidR="00D0224E" w:rsidRDefault="00294889" w:rsidP="00D0224E">
      <w:pPr>
        <w:pStyle w:val="ListParagraph"/>
        <w:numPr>
          <w:ilvl w:val="0"/>
          <w:numId w:val="9"/>
        </w:numPr>
        <w:spacing w:after="120" w:line="240" w:lineRule="auto"/>
        <w:rPr>
          <w:rFonts w:eastAsia="Times New Roman" w:cs="Arial"/>
          <w:sz w:val="24"/>
          <w:szCs w:val="24"/>
        </w:rPr>
      </w:pPr>
      <w:r w:rsidRPr="00D0224E">
        <w:rPr>
          <w:rFonts w:eastAsia="Times New Roman" w:cs="Arial"/>
          <w:sz w:val="24"/>
          <w:szCs w:val="24"/>
        </w:rPr>
        <w:t>Blinding (checking for possible performance bias). Was knowledge of the allocated intervention adequately prevented during the study? At study entry? At the time of outcome assessment? </w:t>
      </w:r>
      <w:r w:rsidR="00D0224E">
        <w:rPr>
          <w:rFonts w:eastAsia="Times New Roman" w:cs="Arial"/>
          <w:sz w:val="24"/>
          <w:szCs w:val="24"/>
        </w:rPr>
        <w:br/>
      </w:r>
      <w:r w:rsidR="00D0224E">
        <w:rPr>
          <w:rFonts w:eastAsia="Times New Roman" w:cs="Arial"/>
          <w:sz w:val="24"/>
          <w:szCs w:val="24"/>
        </w:rPr>
        <w:br/>
      </w:r>
      <w:r w:rsidRPr="00D0224E">
        <w:rPr>
          <w:rFonts w:eastAsia="Times New Roman" w:cs="Arial"/>
          <w:sz w:val="24"/>
          <w:szCs w:val="24"/>
        </w:rPr>
        <w:t>For each included study, we categorized the methods used to blind study participants and personnel from knowledge of which intervention a participant received. Blinding was assessed separately for different outcomes or classes of outcomes. We categorized the methods as:  </w:t>
      </w:r>
    </w:p>
    <w:p w:rsidR="00D0224E" w:rsidRDefault="00D0224E" w:rsidP="00D0224E">
      <w:pPr>
        <w:pStyle w:val="ListParagraph"/>
        <w:numPr>
          <w:ilvl w:val="1"/>
          <w:numId w:val="9"/>
        </w:numPr>
        <w:spacing w:after="120" w:line="240" w:lineRule="auto"/>
        <w:rPr>
          <w:rFonts w:eastAsia="Times New Roman" w:cs="Arial"/>
          <w:sz w:val="24"/>
          <w:szCs w:val="24"/>
        </w:rPr>
      </w:pPr>
      <w:r w:rsidRPr="00D0224E">
        <w:rPr>
          <w:rFonts w:eastAsia="Times New Roman" w:cs="Arial"/>
          <w:sz w:val="24"/>
          <w:szCs w:val="24"/>
        </w:rPr>
        <w:t>low risk</w:t>
      </w:r>
      <w:r w:rsidR="00294889" w:rsidRPr="00D0224E">
        <w:rPr>
          <w:rFonts w:eastAsia="Times New Roman" w:cs="Arial"/>
          <w:sz w:val="24"/>
          <w:szCs w:val="24"/>
        </w:rPr>
        <w:t xml:space="preserve">, </w:t>
      </w:r>
      <w:r w:rsidRPr="00D0224E">
        <w:rPr>
          <w:rFonts w:eastAsia="Times New Roman" w:cs="Arial"/>
          <w:sz w:val="24"/>
          <w:szCs w:val="24"/>
        </w:rPr>
        <w:t>high risk</w:t>
      </w:r>
      <w:r w:rsidR="00294889" w:rsidRPr="00D0224E">
        <w:rPr>
          <w:rFonts w:eastAsia="Times New Roman" w:cs="Arial"/>
          <w:sz w:val="24"/>
          <w:szCs w:val="24"/>
        </w:rPr>
        <w:t xml:space="preserve"> or unclear </w:t>
      </w:r>
      <w:r w:rsidRPr="00D0224E">
        <w:rPr>
          <w:rFonts w:eastAsia="Times New Roman" w:cs="Arial"/>
          <w:sz w:val="24"/>
          <w:szCs w:val="24"/>
        </w:rPr>
        <w:t xml:space="preserve">risk </w:t>
      </w:r>
      <w:r w:rsidR="00294889" w:rsidRPr="00D0224E">
        <w:rPr>
          <w:rFonts w:eastAsia="Times New Roman" w:cs="Arial"/>
          <w:sz w:val="24"/>
          <w:szCs w:val="24"/>
        </w:rPr>
        <w:t>for participants;</w:t>
      </w:r>
    </w:p>
    <w:p w:rsidR="00D0224E" w:rsidRDefault="00D0224E" w:rsidP="00D0224E">
      <w:pPr>
        <w:pStyle w:val="ListParagraph"/>
        <w:numPr>
          <w:ilvl w:val="1"/>
          <w:numId w:val="9"/>
        </w:numPr>
        <w:spacing w:after="120" w:line="240" w:lineRule="auto"/>
        <w:rPr>
          <w:rFonts w:eastAsia="Times New Roman" w:cs="Arial"/>
          <w:sz w:val="24"/>
          <w:szCs w:val="24"/>
        </w:rPr>
      </w:pPr>
      <w:r w:rsidRPr="00D0224E">
        <w:rPr>
          <w:rFonts w:eastAsia="Times New Roman" w:cs="Arial"/>
          <w:sz w:val="24"/>
          <w:szCs w:val="24"/>
        </w:rPr>
        <w:t>low risk, high risk</w:t>
      </w:r>
      <w:r w:rsidRPr="00D0224E">
        <w:rPr>
          <w:rFonts w:eastAsia="Times New Roman" w:cs="Arial"/>
          <w:sz w:val="24"/>
          <w:szCs w:val="24"/>
        </w:rPr>
        <w:t xml:space="preserve"> </w:t>
      </w:r>
      <w:proofErr w:type="spellStart"/>
      <w:r w:rsidRPr="00D0224E">
        <w:rPr>
          <w:rFonts w:eastAsia="Times New Roman" w:cs="Arial"/>
          <w:sz w:val="24"/>
          <w:szCs w:val="24"/>
        </w:rPr>
        <w:t>or</w:t>
      </w:r>
      <w:r w:rsidRPr="00D0224E">
        <w:rPr>
          <w:rFonts w:eastAsia="Times New Roman" w:cs="Arial"/>
          <w:sz w:val="24"/>
          <w:szCs w:val="24"/>
        </w:rPr>
        <w:t>unclear</w:t>
      </w:r>
      <w:proofErr w:type="spellEnd"/>
      <w:r w:rsidRPr="00D0224E">
        <w:rPr>
          <w:rFonts w:eastAsia="Times New Roman" w:cs="Arial"/>
          <w:sz w:val="24"/>
          <w:szCs w:val="24"/>
        </w:rPr>
        <w:t xml:space="preserve"> risk </w:t>
      </w:r>
      <w:r w:rsidR="00294889" w:rsidRPr="00D0224E">
        <w:rPr>
          <w:rFonts w:eastAsia="Times New Roman" w:cs="Arial"/>
          <w:sz w:val="24"/>
          <w:szCs w:val="24"/>
        </w:rPr>
        <w:t>for personnel;</w:t>
      </w:r>
    </w:p>
    <w:p w:rsidR="00D0224E" w:rsidRDefault="00D0224E" w:rsidP="00294889">
      <w:pPr>
        <w:pStyle w:val="ListParagraph"/>
        <w:numPr>
          <w:ilvl w:val="1"/>
          <w:numId w:val="9"/>
        </w:numPr>
        <w:spacing w:after="120" w:line="240" w:lineRule="auto"/>
        <w:rPr>
          <w:rFonts w:eastAsia="Times New Roman" w:cs="Arial"/>
          <w:sz w:val="24"/>
          <w:szCs w:val="24"/>
        </w:rPr>
      </w:pPr>
      <w:r w:rsidRPr="00D0224E">
        <w:rPr>
          <w:rFonts w:eastAsia="Times New Roman" w:cs="Arial"/>
          <w:sz w:val="24"/>
          <w:szCs w:val="24"/>
        </w:rPr>
        <w:t xml:space="preserve">low risk, high risk or unclear risk </w:t>
      </w:r>
      <w:r w:rsidR="00294889" w:rsidRPr="00D0224E">
        <w:rPr>
          <w:rFonts w:eastAsia="Times New Roman" w:cs="Arial"/>
          <w:sz w:val="24"/>
          <w:szCs w:val="24"/>
        </w:rPr>
        <w:t>for outcome assessors.</w:t>
      </w:r>
      <w:r w:rsidR="0014152F">
        <w:rPr>
          <w:rFonts w:eastAsia="Times New Roman" w:cs="Arial"/>
          <w:sz w:val="24"/>
          <w:szCs w:val="24"/>
        </w:rPr>
        <w:br/>
      </w:r>
    </w:p>
    <w:p w:rsidR="0014152F" w:rsidRDefault="00294889" w:rsidP="0014152F">
      <w:pPr>
        <w:pStyle w:val="ListParagraph"/>
        <w:numPr>
          <w:ilvl w:val="0"/>
          <w:numId w:val="9"/>
        </w:numPr>
        <w:spacing w:after="120" w:line="240" w:lineRule="auto"/>
        <w:rPr>
          <w:rFonts w:eastAsia="Times New Roman" w:cs="Arial"/>
          <w:sz w:val="24"/>
          <w:szCs w:val="24"/>
        </w:rPr>
      </w:pPr>
      <w:r w:rsidRPr="00D0224E">
        <w:rPr>
          <w:rFonts w:eastAsia="Times New Roman" w:cs="Arial"/>
          <w:sz w:val="24"/>
          <w:szCs w:val="24"/>
        </w:rPr>
        <w:t>Incomplete outcome data (checking for possible attrition bias through withdrawals, dropouts, protocol deviations). Were incomplete outcome data adequately addressed? </w:t>
      </w:r>
      <w:r w:rsidR="00D0224E">
        <w:rPr>
          <w:rFonts w:eastAsia="Times New Roman" w:cs="Arial"/>
          <w:sz w:val="24"/>
          <w:szCs w:val="24"/>
        </w:rPr>
        <w:br/>
      </w:r>
      <w:r w:rsidR="00D0224E">
        <w:rPr>
          <w:rFonts w:eastAsia="Times New Roman" w:cs="Arial"/>
          <w:sz w:val="24"/>
          <w:szCs w:val="24"/>
        </w:rPr>
        <w:br/>
      </w:r>
      <w:r w:rsidRPr="00D0224E">
        <w:rPr>
          <w:rFonts w:eastAsia="Times New Roman" w:cs="Arial"/>
          <w:sz w:val="24"/>
          <w:szCs w:val="24"/>
        </w:rPr>
        <w:t>For each included study and for each outcome, we described the completeness of data including attrition and exclusions from the analysis. We noted whether attrition and exclusions were reported, the numbers included in the analysis at each stage (compared with the total randomized participants), reasons for attrition or exclusion where reported, and whether missing data were balanced across groups or were related to outcomes. Where sufficient information was reported or supplied by the trial authors, we re-included missing data in the analyses. We categorized the methods as:  </w:t>
      </w:r>
    </w:p>
    <w:p w:rsidR="0014152F" w:rsidRDefault="00D0224E" w:rsidP="0014152F">
      <w:pPr>
        <w:pStyle w:val="ListParagraph"/>
        <w:numPr>
          <w:ilvl w:val="1"/>
          <w:numId w:val="9"/>
        </w:numPr>
        <w:spacing w:after="120" w:line="240" w:lineRule="auto"/>
        <w:rPr>
          <w:rFonts w:eastAsia="Times New Roman" w:cs="Arial"/>
          <w:sz w:val="24"/>
          <w:szCs w:val="24"/>
        </w:rPr>
      </w:pPr>
      <w:r w:rsidRPr="0014152F">
        <w:rPr>
          <w:rFonts w:eastAsia="Times New Roman" w:cs="Arial"/>
          <w:sz w:val="24"/>
          <w:szCs w:val="24"/>
        </w:rPr>
        <w:t>low risk</w:t>
      </w:r>
      <w:r w:rsidR="00294889" w:rsidRPr="0014152F">
        <w:rPr>
          <w:rFonts w:eastAsia="Times New Roman" w:cs="Arial"/>
          <w:sz w:val="24"/>
          <w:szCs w:val="24"/>
        </w:rPr>
        <w:t xml:space="preserve"> (&lt; 20% missing data)</w:t>
      </w:r>
      <w:r w:rsidR="0014152F">
        <w:rPr>
          <w:rFonts w:eastAsia="Times New Roman" w:cs="Arial"/>
          <w:sz w:val="24"/>
          <w:szCs w:val="24"/>
        </w:rPr>
        <w:t>;</w:t>
      </w:r>
    </w:p>
    <w:p w:rsidR="0014152F" w:rsidRDefault="00D0224E" w:rsidP="0014152F">
      <w:pPr>
        <w:pStyle w:val="ListParagraph"/>
        <w:numPr>
          <w:ilvl w:val="1"/>
          <w:numId w:val="9"/>
        </w:numPr>
        <w:spacing w:after="120" w:line="240" w:lineRule="auto"/>
        <w:rPr>
          <w:rFonts w:eastAsia="Times New Roman" w:cs="Arial"/>
          <w:sz w:val="24"/>
          <w:szCs w:val="24"/>
        </w:rPr>
      </w:pPr>
      <w:r w:rsidRPr="0014152F">
        <w:rPr>
          <w:rFonts w:eastAsia="Times New Roman" w:cs="Arial"/>
          <w:sz w:val="24"/>
          <w:szCs w:val="24"/>
        </w:rPr>
        <w:t xml:space="preserve">high risk </w:t>
      </w:r>
      <w:r w:rsidR="00294889" w:rsidRPr="0014152F">
        <w:rPr>
          <w:rFonts w:eastAsia="Times New Roman" w:cs="Arial"/>
          <w:sz w:val="24"/>
          <w:szCs w:val="24"/>
        </w:rPr>
        <w:t>(≥ 20% missing data)</w:t>
      </w:r>
      <w:r w:rsidR="0014152F">
        <w:rPr>
          <w:rFonts w:eastAsia="Times New Roman" w:cs="Arial"/>
          <w:sz w:val="24"/>
          <w:szCs w:val="24"/>
        </w:rPr>
        <w:t>;</w:t>
      </w:r>
    </w:p>
    <w:p w:rsidR="0014152F" w:rsidRDefault="00294889" w:rsidP="0014152F">
      <w:pPr>
        <w:pStyle w:val="ListParagraph"/>
        <w:numPr>
          <w:ilvl w:val="1"/>
          <w:numId w:val="9"/>
        </w:numPr>
        <w:spacing w:after="120" w:line="240" w:lineRule="auto"/>
        <w:rPr>
          <w:rFonts w:eastAsia="Times New Roman" w:cs="Arial"/>
          <w:sz w:val="24"/>
          <w:szCs w:val="24"/>
        </w:rPr>
      </w:pPr>
      <w:r w:rsidRPr="0014152F">
        <w:rPr>
          <w:rFonts w:eastAsia="Times New Roman" w:cs="Arial"/>
          <w:sz w:val="24"/>
          <w:szCs w:val="24"/>
        </w:rPr>
        <w:t>unclear</w:t>
      </w:r>
      <w:r w:rsidR="00D0224E" w:rsidRPr="0014152F">
        <w:rPr>
          <w:rFonts w:eastAsia="Times New Roman" w:cs="Arial"/>
          <w:sz w:val="24"/>
          <w:szCs w:val="24"/>
        </w:rPr>
        <w:t xml:space="preserve"> risk</w:t>
      </w:r>
      <w:r w:rsidR="0014152F">
        <w:rPr>
          <w:rFonts w:eastAsia="Times New Roman" w:cs="Arial"/>
          <w:sz w:val="24"/>
          <w:szCs w:val="24"/>
        </w:rPr>
        <w:t>.</w:t>
      </w:r>
      <w:r w:rsidR="00452319">
        <w:rPr>
          <w:rFonts w:eastAsia="Times New Roman" w:cs="Arial"/>
          <w:sz w:val="24"/>
          <w:szCs w:val="24"/>
        </w:rPr>
        <w:br/>
      </w:r>
    </w:p>
    <w:p w:rsidR="0014152F" w:rsidRDefault="00294889" w:rsidP="0014152F">
      <w:pPr>
        <w:pStyle w:val="ListParagraph"/>
        <w:numPr>
          <w:ilvl w:val="0"/>
          <w:numId w:val="9"/>
        </w:numPr>
        <w:spacing w:after="120" w:line="240" w:lineRule="auto"/>
        <w:rPr>
          <w:rFonts w:eastAsia="Times New Roman" w:cs="Arial"/>
          <w:sz w:val="24"/>
          <w:szCs w:val="24"/>
        </w:rPr>
      </w:pPr>
      <w:r w:rsidRPr="0014152F">
        <w:rPr>
          <w:rFonts w:eastAsia="Times New Roman" w:cs="Arial"/>
          <w:sz w:val="24"/>
          <w:szCs w:val="24"/>
        </w:rPr>
        <w:t>Selective reporting bias. Are reports of the study free of suggestion of selective outcome reporting? </w:t>
      </w:r>
      <w:r w:rsidR="0014152F">
        <w:rPr>
          <w:rFonts w:eastAsia="Times New Roman" w:cs="Arial"/>
          <w:sz w:val="24"/>
          <w:szCs w:val="24"/>
        </w:rPr>
        <w:br/>
      </w:r>
      <w:r w:rsidR="0014152F">
        <w:rPr>
          <w:rFonts w:eastAsia="Times New Roman" w:cs="Arial"/>
          <w:sz w:val="24"/>
          <w:szCs w:val="24"/>
        </w:rPr>
        <w:br/>
      </w:r>
      <w:r w:rsidRPr="0014152F">
        <w:rPr>
          <w:rFonts w:eastAsia="Times New Roman" w:cs="Arial"/>
          <w:sz w:val="24"/>
          <w:szCs w:val="24"/>
        </w:rPr>
        <w:t>For each included study, we described how we investigated the possibility of selective outcome reporting bias and what we found. We assessed the methods as: </w:t>
      </w:r>
    </w:p>
    <w:p w:rsidR="0014152F" w:rsidRDefault="00D0224E" w:rsidP="0014152F">
      <w:pPr>
        <w:pStyle w:val="ListParagraph"/>
        <w:numPr>
          <w:ilvl w:val="1"/>
          <w:numId w:val="9"/>
        </w:numPr>
        <w:spacing w:after="120" w:line="240" w:lineRule="auto"/>
        <w:rPr>
          <w:rFonts w:eastAsia="Times New Roman" w:cs="Arial"/>
          <w:sz w:val="24"/>
          <w:szCs w:val="24"/>
        </w:rPr>
      </w:pPr>
      <w:r w:rsidRPr="0014152F">
        <w:rPr>
          <w:rFonts w:eastAsia="Times New Roman" w:cs="Arial"/>
          <w:sz w:val="24"/>
          <w:szCs w:val="24"/>
        </w:rPr>
        <w:t xml:space="preserve">low risk </w:t>
      </w:r>
      <w:r w:rsidR="00294889" w:rsidRPr="0014152F">
        <w:rPr>
          <w:rFonts w:eastAsia="Times New Roman" w:cs="Arial"/>
          <w:sz w:val="24"/>
          <w:szCs w:val="24"/>
        </w:rPr>
        <w:t>(where it is clear that all of the study’s pre-specified outcomes and all expected outcomes of interest to the review have been reported); </w:t>
      </w:r>
    </w:p>
    <w:p w:rsidR="0014152F" w:rsidRDefault="00D0224E" w:rsidP="0014152F">
      <w:pPr>
        <w:pStyle w:val="ListParagraph"/>
        <w:numPr>
          <w:ilvl w:val="1"/>
          <w:numId w:val="9"/>
        </w:numPr>
        <w:spacing w:after="120" w:line="240" w:lineRule="auto"/>
        <w:rPr>
          <w:rFonts w:eastAsia="Times New Roman" w:cs="Arial"/>
          <w:sz w:val="24"/>
          <w:szCs w:val="24"/>
        </w:rPr>
      </w:pPr>
      <w:r w:rsidRPr="0014152F">
        <w:rPr>
          <w:rFonts w:eastAsia="Times New Roman" w:cs="Arial"/>
          <w:sz w:val="24"/>
          <w:szCs w:val="24"/>
        </w:rPr>
        <w:t xml:space="preserve">high risk </w:t>
      </w:r>
      <w:r w:rsidR="00294889" w:rsidRPr="0014152F">
        <w:rPr>
          <w:rFonts w:eastAsia="Times New Roman" w:cs="Arial"/>
          <w:sz w:val="24"/>
          <w:szCs w:val="24"/>
        </w:rPr>
        <w:t>(where not all the study’s pre-specified outcomes have been reported; one or more reported primary outcomes were not pre-specified outcomes of interest are reported incompletely and so cannot be used; study fails to include results of a key outcome that would have been expected to have been reported); </w:t>
      </w:r>
    </w:p>
    <w:p w:rsidR="0014152F" w:rsidRDefault="00294889" w:rsidP="00294889">
      <w:pPr>
        <w:pStyle w:val="ListParagraph"/>
        <w:numPr>
          <w:ilvl w:val="1"/>
          <w:numId w:val="9"/>
        </w:numPr>
        <w:spacing w:after="120" w:line="240" w:lineRule="auto"/>
        <w:rPr>
          <w:rFonts w:eastAsia="Times New Roman" w:cs="Arial"/>
          <w:sz w:val="24"/>
          <w:szCs w:val="24"/>
        </w:rPr>
      </w:pPr>
      <w:r w:rsidRPr="0014152F">
        <w:rPr>
          <w:rFonts w:eastAsia="Times New Roman" w:cs="Arial"/>
          <w:sz w:val="24"/>
          <w:szCs w:val="24"/>
        </w:rPr>
        <w:t>unclear</w:t>
      </w:r>
      <w:r w:rsidR="00D0224E" w:rsidRPr="0014152F">
        <w:rPr>
          <w:rFonts w:eastAsia="Times New Roman" w:cs="Arial"/>
          <w:sz w:val="24"/>
          <w:szCs w:val="24"/>
        </w:rPr>
        <w:t xml:space="preserve"> risk</w:t>
      </w:r>
      <w:r w:rsidRPr="0014152F">
        <w:rPr>
          <w:rFonts w:eastAsia="Times New Roman" w:cs="Arial"/>
          <w:sz w:val="24"/>
          <w:szCs w:val="24"/>
        </w:rPr>
        <w:t>.</w:t>
      </w:r>
      <w:r w:rsidR="00452319">
        <w:rPr>
          <w:rFonts w:eastAsia="Times New Roman" w:cs="Arial"/>
          <w:sz w:val="24"/>
          <w:szCs w:val="24"/>
        </w:rPr>
        <w:br/>
      </w:r>
    </w:p>
    <w:p w:rsidR="0014152F" w:rsidRDefault="00294889" w:rsidP="0014152F">
      <w:pPr>
        <w:pStyle w:val="ListParagraph"/>
        <w:numPr>
          <w:ilvl w:val="0"/>
          <w:numId w:val="9"/>
        </w:numPr>
        <w:spacing w:after="120" w:line="240" w:lineRule="auto"/>
        <w:rPr>
          <w:rFonts w:eastAsia="Times New Roman" w:cs="Arial"/>
          <w:sz w:val="24"/>
          <w:szCs w:val="24"/>
        </w:rPr>
      </w:pPr>
      <w:r w:rsidRPr="0014152F">
        <w:rPr>
          <w:rFonts w:eastAsia="Times New Roman" w:cs="Arial"/>
          <w:sz w:val="24"/>
          <w:szCs w:val="24"/>
        </w:rPr>
        <w:t>Other sources of bias. Was the study apparently free of other problems that could put it at a high risk of bias? </w:t>
      </w:r>
      <w:r w:rsidR="0014152F">
        <w:rPr>
          <w:rFonts w:eastAsia="Times New Roman" w:cs="Arial"/>
          <w:sz w:val="24"/>
          <w:szCs w:val="24"/>
        </w:rPr>
        <w:br/>
      </w:r>
      <w:r w:rsidR="0014152F">
        <w:rPr>
          <w:rFonts w:eastAsia="Times New Roman" w:cs="Arial"/>
          <w:sz w:val="24"/>
          <w:szCs w:val="24"/>
        </w:rPr>
        <w:br/>
      </w:r>
      <w:r w:rsidRPr="0014152F">
        <w:rPr>
          <w:rFonts w:eastAsia="Times New Roman" w:cs="Arial"/>
          <w:sz w:val="24"/>
          <w:szCs w:val="24"/>
        </w:rPr>
        <w:t>For each included study, we described any important concerns we had about other possible sources of bias (for example, whether there was a potential source of bias related to the specific study design or whether the trial was stopped early due to some data-dependent process). We assessed whether each study was free of other problems that could put it at risk of bias as: </w:t>
      </w:r>
    </w:p>
    <w:p w:rsidR="0014152F" w:rsidRDefault="00D0224E" w:rsidP="0014152F">
      <w:pPr>
        <w:pStyle w:val="ListParagraph"/>
        <w:numPr>
          <w:ilvl w:val="1"/>
          <w:numId w:val="9"/>
        </w:numPr>
        <w:spacing w:after="120" w:line="240" w:lineRule="auto"/>
        <w:rPr>
          <w:rFonts w:eastAsia="Times New Roman" w:cs="Arial"/>
          <w:sz w:val="24"/>
          <w:szCs w:val="24"/>
        </w:rPr>
      </w:pPr>
      <w:r w:rsidRPr="0014152F">
        <w:rPr>
          <w:rFonts w:eastAsia="Times New Roman" w:cs="Arial"/>
          <w:sz w:val="24"/>
          <w:szCs w:val="24"/>
        </w:rPr>
        <w:t>low risk</w:t>
      </w:r>
      <w:r w:rsidR="0014152F">
        <w:rPr>
          <w:rFonts w:eastAsia="Times New Roman" w:cs="Arial"/>
          <w:sz w:val="24"/>
          <w:szCs w:val="24"/>
        </w:rPr>
        <w:t>;</w:t>
      </w:r>
    </w:p>
    <w:p w:rsidR="0014152F" w:rsidRDefault="00D0224E" w:rsidP="0014152F">
      <w:pPr>
        <w:pStyle w:val="ListParagraph"/>
        <w:numPr>
          <w:ilvl w:val="1"/>
          <w:numId w:val="9"/>
        </w:numPr>
        <w:spacing w:after="120" w:line="240" w:lineRule="auto"/>
        <w:rPr>
          <w:rFonts w:eastAsia="Times New Roman" w:cs="Arial"/>
          <w:sz w:val="24"/>
          <w:szCs w:val="24"/>
        </w:rPr>
      </w:pPr>
      <w:r w:rsidRPr="0014152F">
        <w:rPr>
          <w:rFonts w:eastAsia="Times New Roman" w:cs="Arial"/>
          <w:sz w:val="24"/>
          <w:szCs w:val="24"/>
        </w:rPr>
        <w:t>high risk</w:t>
      </w:r>
      <w:r w:rsidR="0014152F">
        <w:rPr>
          <w:rFonts w:eastAsia="Times New Roman" w:cs="Arial"/>
          <w:sz w:val="24"/>
          <w:szCs w:val="24"/>
        </w:rPr>
        <w:t>;</w:t>
      </w:r>
    </w:p>
    <w:p w:rsidR="00294889" w:rsidRPr="0014152F" w:rsidRDefault="00294889" w:rsidP="0014152F">
      <w:pPr>
        <w:pStyle w:val="ListParagraph"/>
        <w:numPr>
          <w:ilvl w:val="1"/>
          <w:numId w:val="9"/>
        </w:numPr>
        <w:spacing w:after="120" w:line="240" w:lineRule="auto"/>
        <w:rPr>
          <w:rFonts w:eastAsia="Times New Roman" w:cs="Arial"/>
          <w:sz w:val="24"/>
          <w:szCs w:val="24"/>
        </w:rPr>
      </w:pPr>
      <w:r w:rsidRPr="0014152F">
        <w:rPr>
          <w:rFonts w:eastAsia="Times New Roman" w:cs="Arial"/>
          <w:sz w:val="24"/>
          <w:szCs w:val="24"/>
        </w:rPr>
        <w:t>unclear</w:t>
      </w:r>
      <w:r w:rsidR="00D0224E" w:rsidRPr="0014152F">
        <w:rPr>
          <w:rFonts w:eastAsia="Times New Roman" w:cs="Arial"/>
          <w:sz w:val="24"/>
          <w:szCs w:val="24"/>
        </w:rPr>
        <w:t xml:space="preserve"> risk</w:t>
      </w:r>
      <w:r w:rsidR="0014152F">
        <w:rPr>
          <w:rFonts w:eastAsia="Times New Roman" w:cs="Arial"/>
          <w:sz w:val="24"/>
          <w:szCs w:val="24"/>
        </w:rPr>
        <w:t>.</w:t>
      </w:r>
    </w:p>
    <w:p w:rsidR="00294889" w:rsidRPr="00294889" w:rsidRDefault="00294889" w:rsidP="00294889">
      <w:pPr>
        <w:spacing w:after="120" w:line="240" w:lineRule="auto"/>
        <w:rPr>
          <w:rFonts w:eastAsia="Times New Roman" w:cs="Arial"/>
          <w:sz w:val="24"/>
          <w:szCs w:val="24"/>
        </w:rPr>
      </w:pPr>
      <w:r w:rsidRPr="00294889">
        <w:rPr>
          <w:rFonts w:eastAsia="Times New Roman" w:cs="Arial"/>
          <w:sz w:val="24"/>
          <w:szCs w:val="24"/>
        </w:rPr>
        <w:t>If needed, we planned to explore the impact of the level of bias through undertaking sensitivity analyses.</w:t>
      </w:r>
    </w:p>
    <w:p w:rsidR="00294889" w:rsidRPr="00294889" w:rsidRDefault="00294889"/>
    <w:sectPr w:rsidR="00294889" w:rsidRPr="00294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07084"/>
    <w:multiLevelType w:val="multilevel"/>
    <w:tmpl w:val="9252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4F5117"/>
    <w:multiLevelType w:val="hybridMultilevel"/>
    <w:tmpl w:val="3C2609D0"/>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2B3F5B25"/>
    <w:multiLevelType w:val="multilevel"/>
    <w:tmpl w:val="B3FA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3C7E83"/>
    <w:multiLevelType w:val="multilevel"/>
    <w:tmpl w:val="97505C4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38E13C97"/>
    <w:multiLevelType w:val="hybridMultilevel"/>
    <w:tmpl w:val="9B78C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634C51"/>
    <w:multiLevelType w:val="hybridMultilevel"/>
    <w:tmpl w:val="FFCA6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0B3E5C"/>
    <w:multiLevelType w:val="multilevel"/>
    <w:tmpl w:val="3A4A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AF0375"/>
    <w:multiLevelType w:val="hybridMultilevel"/>
    <w:tmpl w:val="B7328E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0F96139"/>
    <w:multiLevelType w:val="hybridMultilevel"/>
    <w:tmpl w:val="B7B07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7D01A7"/>
    <w:multiLevelType w:val="hybridMultilevel"/>
    <w:tmpl w:val="34CC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E46400"/>
    <w:multiLevelType w:val="multilevel"/>
    <w:tmpl w:val="343C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EF5101"/>
    <w:multiLevelType w:val="multilevel"/>
    <w:tmpl w:val="98E6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0"/>
  </w:num>
  <w:num w:numId="4">
    <w:abstractNumId w:val="11"/>
  </w:num>
  <w:num w:numId="5">
    <w:abstractNumId w:val="10"/>
  </w:num>
  <w:num w:numId="6">
    <w:abstractNumId w:val="2"/>
  </w:num>
  <w:num w:numId="7">
    <w:abstractNumId w:val="5"/>
  </w:num>
  <w:num w:numId="8">
    <w:abstractNumId w:val="4"/>
  </w:num>
  <w:num w:numId="9">
    <w:abstractNumId w:val="8"/>
  </w:num>
  <w:num w:numId="10">
    <w:abstractNumId w:val="9"/>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89"/>
    <w:rsid w:val="000B12A9"/>
    <w:rsid w:val="0014152F"/>
    <w:rsid w:val="00294889"/>
    <w:rsid w:val="002B0128"/>
    <w:rsid w:val="00452319"/>
    <w:rsid w:val="009B5FE5"/>
    <w:rsid w:val="00D0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07F78-341F-4075-8436-20010D85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889"/>
    <w:pPr>
      <w:spacing w:after="12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94889"/>
    <w:rPr>
      <w:color w:val="0000FF"/>
      <w:u w:val="single"/>
    </w:rPr>
  </w:style>
  <w:style w:type="paragraph" w:styleId="ListParagraph">
    <w:name w:val="List Paragraph"/>
    <w:basedOn w:val="Normal"/>
    <w:uiPriority w:val="34"/>
    <w:qFormat/>
    <w:rsid w:val="00D02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86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chie.cochrane.org/sections/documents/view?version=z1510301415035400167875992503953&amp;format=REVMAN&amp;showNbsp=fal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Ovelman, Colleen M</dc:creator>
  <cp:keywords/>
  <dc:description/>
  <cp:lastModifiedBy>Ovelman, Colleen M</cp:lastModifiedBy>
  <cp:revision>4</cp:revision>
  <dcterms:created xsi:type="dcterms:W3CDTF">2015-11-05T16:25:00Z</dcterms:created>
  <dcterms:modified xsi:type="dcterms:W3CDTF">2015-12-14T18:43:00Z</dcterms:modified>
</cp:coreProperties>
</file>