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5EC59" w14:textId="7970A2D7" w:rsidR="00875F6E" w:rsidRDefault="00875F6E" w:rsidP="00875F6E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Webinar: </w:t>
      </w:r>
      <w:r w:rsidR="009750C6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Evidence in Practice: </w:t>
      </w:r>
      <w:r w:rsidR="002D068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Translating evidence-based medicine to evidence-based practice</w:t>
      </w:r>
    </w:p>
    <w:p w14:paraId="5FC4D2AA" w14:textId="252E37F8" w:rsidR="00875F6E" w:rsidRPr="00875F6E" w:rsidRDefault="00875F6E" w:rsidP="00875F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F6E">
        <w:rPr>
          <w:rFonts w:ascii="Times New Roman" w:hAnsi="Times New Roman" w:cs="Times New Roman"/>
          <w:b/>
          <w:bCs/>
          <w:sz w:val="24"/>
          <w:szCs w:val="24"/>
        </w:rPr>
        <w:t>Additional resources:</w:t>
      </w:r>
    </w:p>
    <w:p w14:paraId="19AAF905" w14:textId="2ECFE2E1" w:rsidR="00875F6E" w:rsidRPr="00875F6E" w:rsidRDefault="00875F6E" w:rsidP="00875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 xml:space="preserve">Cochrane online learning: GRADE approach: </w:t>
      </w:r>
      <w:hyperlink r:id="rId7" w:history="1">
        <w:r w:rsidRPr="00875F6E">
          <w:rPr>
            <w:rStyle w:val="Hyperlink"/>
            <w:rFonts w:ascii="Times New Roman" w:hAnsi="Times New Roman" w:cs="Times New Roman"/>
            <w:sz w:val="24"/>
            <w:szCs w:val="24"/>
          </w:rPr>
          <w:t>https://training.cochrane.org/grade-approach</w:t>
        </w:r>
      </w:hyperlink>
      <w:r w:rsidRPr="00875F6E">
        <w:rPr>
          <w:rFonts w:ascii="Times New Roman" w:hAnsi="Times New Roman" w:cs="Times New Roman"/>
          <w:sz w:val="24"/>
          <w:szCs w:val="24"/>
        </w:rPr>
        <w:br/>
        <w:t>(open resource, available to all)</w:t>
      </w:r>
    </w:p>
    <w:p w14:paraId="70123469" w14:textId="18E836D9" w:rsidR="00875F6E" w:rsidRPr="00875F6E" w:rsidRDefault="00875F6E" w:rsidP="00875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 xml:space="preserve">Cochrane online learning: Introduction to study quality and risk of bias: </w:t>
      </w:r>
      <w:hyperlink r:id="rId8" w:history="1">
        <w:r w:rsidRPr="00875F6E">
          <w:rPr>
            <w:rStyle w:val="Hyperlink"/>
            <w:rFonts w:ascii="Times New Roman" w:hAnsi="Times New Roman" w:cs="Times New Roman"/>
            <w:sz w:val="24"/>
            <w:szCs w:val="24"/>
          </w:rPr>
          <w:t>https://training.cochrane.org/interactivelearning/module-5-introduction-study-quality-and-risk-bias</w:t>
        </w:r>
      </w:hyperlink>
      <w:r w:rsidRPr="00875F6E">
        <w:rPr>
          <w:rFonts w:ascii="Times New Roman" w:hAnsi="Times New Roman" w:cs="Times New Roman"/>
          <w:sz w:val="24"/>
          <w:szCs w:val="24"/>
        </w:rPr>
        <w:br/>
        <w:t>(only available to Cochrane authors)</w:t>
      </w:r>
    </w:p>
    <w:p w14:paraId="15A93894" w14:textId="1AE50A32" w:rsidR="00875F6E" w:rsidRPr="00875F6E" w:rsidRDefault="00875F6E" w:rsidP="00875F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F6E">
        <w:rPr>
          <w:rFonts w:ascii="Times New Roman" w:hAnsi="Times New Roman" w:cs="Times New Roman"/>
          <w:b/>
          <w:bCs/>
          <w:sz w:val="24"/>
          <w:szCs w:val="24"/>
        </w:rPr>
        <w:t>GRADE references</w:t>
      </w:r>
    </w:p>
    <w:p w14:paraId="03E822DC" w14:textId="56F87B90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Kunz R,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GE, Falck-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Ytter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Schunemann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HJ. What is “quality of evidence” and why is it important to clinicians? BMJ (Clinical research ed). 2008;336(7651):995-8.</w:t>
      </w:r>
    </w:p>
    <w:p w14:paraId="7B8E0F5C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GE, Kunz R, Falck-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Ytter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Y, Alonso-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Coello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P, et al. GRADE: an emerging consensus on rating quality of evidence and strength of recommendations. BMJ (Clinical research ed). 2008;336(7650):924-6.</w:t>
      </w:r>
    </w:p>
    <w:p w14:paraId="13F03A87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Akl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EA, Kunz R,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et al. GRADE guidelines: 1. Introduction-GRADE evidence profiles and summary of findings tables. Journal of clinical epidemiology. 2011;64(4):383-94.</w:t>
      </w:r>
    </w:p>
    <w:p w14:paraId="02021B7F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Kunz R, Atkins D,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G, et al. GRADE guidelines: 2. Framing the question and deciding on important outcomes. Journal of clinical epidemiology. 2011;64(4):395-400.</w:t>
      </w:r>
    </w:p>
    <w:p w14:paraId="25E5916F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Balshem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H, Helfand M,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Schunemann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HJ,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Kunz R,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et al. GRADE guidelines: 3. Rating the quality of evidence. Journal of clinical epidemiology. 2011;64(4):401-6.</w:t>
      </w:r>
    </w:p>
    <w:p w14:paraId="73090EF0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G, Kunz R,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Alonso-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Coello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P, et al. GRADE guidelines: 4. Rating the quality of evidence–study limitations (risk of bias). Journal of clinical epidemiology. 2011;64(4):407-15.</w:t>
      </w:r>
    </w:p>
    <w:p w14:paraId="3D8F0632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Montori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G, Kunz R,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et al. GRADE guidelines: 5. Rating the quality of evidence–publication bias. Journal of clinical epidemiology. 2011;64(12):1277-82.</w:t>
      </w:r>
    </w:p>
    <w:p w14:paraId="32ED937E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Kunz R,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Alonso-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Coello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P, Rind D, et al. GRADE guidelines 6. Rating the quality of evidence–imprecision. Journal of clinical epidemiology. 2011;64(12):1283-93.</w:t>
      </w:r>
    </w:p>
    <w:p w14:paraId="5F400EC1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Kunz R, Woodcock J,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Helfand M, et al. GRADE guidelines: 7. Rating the quality of evidence–inconsistency. Journal of clinical epidemiology. 2011;64(12):1294-302.</w:t>
      </w:r>
    </w:p>
    <w:p w14:paraId="3782F4FB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lastRenderedPageBreak/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Kunz R, Woodcock J,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Brozek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J, Helfand M, et al. GRADE guidelines: 8. Rating the quality of evidence–indirectness. Journal of clinical epidemiology. 2011;64(12):1303-10.</w:t>
      </w:r>
    </w:p>
    <w:p w14:paraId="35FD061E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Sultan S,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Glasziou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Akl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EA, Alonso-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Coello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P, et al. GRADE guidelines: 9. Rating up the quality of evidence. Journal of clinical epidemiology. 2011;64(12):1311-6.</w:t>
      </w:r>
    </w:p>
    <w:p w14:paraId="46E08AEF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Bruneti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Shemilt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Pregno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S, et al. GRADE guidelines, 10: considering resource use and rating the quality of economic evidence. J Clin Epidemiol 2013;66:140-50.</w:t>
      </w:r>
    </w:p>
    <w:p w14:paraId="2F3ECB17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Sultan S, et al. GRADE guidelines, 11: making an overall rating of confidence in effect estimates for a single outcome and for all outcomes. J Clin Epidemiol 2013;66:151-7.</w:t>
      </w:r>
    </w:p>
    <w:p w14:paraId="17020A26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Santesso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N, et al. GRADE guidelines, 12: preparing summary of findings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tablesebinary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outcomes. J Clin Epidemiol 2013;66:158-72.</w:t>
      </w:r>
    </w:p>
    <w:p w14:paraId="444C10A6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Thorlund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et al. GRADE guidelines, 13: preparing summary of findings tables and evidence profiles continuous outcomes. J Clin Epidemiol 2013;66:173-83.</w:t>
      </w:r>
    </w:p>
    <w:p w14:paraId="352776AA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r w:rsidRPr="00875F6E">
        <w:rPr>
          <w:rFonts w:ascii="Times New Roman" w:hAnsi="Times New Roman" w:cs="Times New Roman"/>
          <w:sz w:val="24"/>
          <w:szCs w:val="24"/>
        </w:rPr>
        <w:t xml:space="preserve">Andrews J,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et al. GRADE guidelines, 14: going from evidence to recommendations; the significance and presentation of recommendations. J Clin Epidemiol 2013;66:719-25.</w:t>
      </w:r>
    </w:p>
    <w:p w14:paraId="460020BD" w14:textId="77777777" w:rsidR="00875F6E" w:rsidRPr="00875F6E" w:rsidRDefault="00875F6E" w:rsidP="00875F6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5F6E">
        <w:rPr>
          <w:rFonts w:ascii="Times New Roman" w:hAnsi="Times New Roman" w:cs="Times New Roman"/>
          <w:sz w:val="24"/>
          <w:szCs w:val="24"/>
        </w:rPr>
        <w:t>Guyatt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GH,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Oxman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AD, Kunz R, Falck-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Ytter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GE, </w:t>
      </w:r>
      <w:proofErr w:type="spellStart"/>
      <w:r w:rsidRPr="00875F6E">
        <w:rPr>
          <w:rFonts w:ascii="Times New Roman" w:hAnsi="Times New Roman" w:cs="Times New Roman"/>
          <w:sz w:val="24"/>
          <w:szCs w:val="24"/>
        </w:rPr>
        <w:t>Liberati</w:t>
      </w:r>
      <w:proofErr w:type="spellEnd"/>
      <w:r w:rsidRPr="00875F6E">
        <w:rPr>
          <w:rFonts w:ascii="Times New Roman" w:hAnsi="Times New Roman" w:cs="Times New Roman"/>
          <w:sz w:val="24"/>
          <w:szCs w:val="24"/>
        </w:rPr>
        <w:t xml:space="preserve"> A, et al. Going from evidence to recommendations. BMJ (Clinical research ed). 2008;336(7652):1049-51.</w:t>
      </w:r>
    </w:p>
    <w:p w14:paraId="0DF4C95B" w14:textId="06105631" w:rsidR="00875F6E" w:rsidRDefault="00BB17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17D3">
        <w:rPr>
          <w:rFonts w:ascii="Times New Roman" w:hAnsi="Times New Roman" w:cs="Times New Roman"/>
          <w:b/>
          <w:bCs/>
          <w:sz w:val="24"/>
          <w:szCs w:val="24"/>
        </w:rPr>
        <w:t>Guideline and Systematic Review References</w:t>
      </w:r>
    </w:p>
    <w:p w14:paraId="7C8417CA" w14:textId="3CAA82ED" w:rsidR="00EA3042" w:rsidRDefault="00EA3042" w:rsidP="00BB17D3">
      <w:pPr>
        <w:rPr>
          <w:rFonts w:ascii="Times New Roman" w:hAnsi="Times New Roman" w:cs="Times New Roman"/>
          <w:sz w:val="24"/>
          <w:szCs w:val="24"/>
        </w:rPr>
      </w:pPr>
      <w:r w:rsidRPr="00EA3042">
        <w:rPr>
          <w:rFonts w:ascii="Times New Roman" w:hAnsi="Times New Roman" w:cs="Times New Roman"/>
          <w:sz w:val="24"/>
          <w:szCs w:val="24"/>
        </w:rPr>
        <w:t xml:space="preserve">Rabe H, </w:t>
      </w:r>
      <w:proofErr w:type="spellStart"/>
      <w:r w:rsidRPr="00EA3042">
        <w:rPr>
          <w:rFonts w:ascii="Times New Roman" w:hAnsi="Times New Roman" w:cs="Times New Roman"/>
          <w:sz w:val="24"/>
          <w:szCs w:val="24"/>
        </w:rPr>
        <w:t>Gyte</w:t>
      </w:r>
      <w:proofErr w:type="spellEnd"/>
      <w:r w:rsidRPr="00EA3042">
        <w:rPr>
          <w:rFonts w:ascii="Times New Roman" w:hAnsi="Times New Roman" w:cs="Times New Roman"/>
          <w:sz w:val="24"/>
          <w:szCs w:val="24"/>
        </w:rPr>
        <w:t xml:space="preserve"> GM, Díaz-Rossello JL, </w:t>
      </w:r>
      <w:proofErr w:type="spellStart"/>
      <w:r w:rsidRPr="00EA3042">
        <w:rPr>
          <w:rFonts w:ascii="Times New Roman" w:hAnsi="Times New Roman" w:cs="Times New Roman"/>
          <w:sz w:val="24"/>
          <w:szCs w:val="24"/>
        </w:rPr>
        <w:t>Duley</w:t>
      </w:r>
      <w:proofErr w:type="spellEnd"/>
      <w:r w:rsidRPr="00EA3042">
        <w:rPr>
          <w:rFonts w:ascii="Times New Roman" w:hAnsi="Times New Roman" w:cs="Times New Roman"/>
          <w:sz w:val="24"/>
          <w:szCs w:val="24"/>
        </w:rPr>
        <w:t xml:space="preserve"> L. Effect of timing of umbilical cord clamping and other strategies to influence placental transfusion at preterm birth on maternal and infant outcomes. Cochrane Database Syst Rev. 2019 Sep 17;9(9):CD003248. </w:t>
      </w:r>
      <w:proofErr w:type="spellStart"/>
      <w:r w:rsidRPr="00EA304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A3042">
        <w:rPr>
          <w:rFonts w:ascii="Times New Roman" w:hAnsi="Times New Roman" w:cs="Times New Roman"/>
          <w:sz w:val="24"/>
          <w:szCs w:val="24"/>
        </w:rPr>
        <w:t>: 10.1002/14651858.CD003248.pub4. PMID: 31529790; PMCID: PMC6748404.</w:t>
      </w:r>
    </w:p>
    <w:p w14:paraId="746D98C2" w14:textId="415A70C8" w:rsidR="00EA3042" w:rsidRDefault="00EA3042" w:rsidP="00BB1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Seidler AL, </w:t>
      </w:r>
      <w:proofErr w:type="spellStart"/>
      <w:r>
        <w:rPr>
          <w:rFonts w:ascii="Times New Roman" w:hAnsi="Times New Roman" w:cs="Times New Roman"/>
          <w:sz w:val="24"/>
          <w:szCs w:val="24"/>
        </w:rPr>
        <w:t>Gyte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G, Rabe H, Diaz-</w:t>
      </w:r>
      <w:proofErr w:type="spellStart"/>
      <w:r>
        <w:rPr>
          <w:rFonts w:ascii="Times New Roman" w:hAnsi="Times New Roman" w:cs="Times New Roman"/>
          <w:sz w:val="24"/>
          <w:szCs w:val="24"/>
        </w:rPr>
        <w:t>Rosello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Aziz K, Costa-</w:t>
      </w:r>
      <w:proofErr w:type="spellStart"/>
      <w:r>
        <w:rPr>
          <w:rFonts w:ascii="Times New Roman" w:hAnsi="Times New Roman" w:cs="Times New Roman"/>
          <w:sz w:val="24"/>
          <w:szCs w:val="24"/>
        </w:rPr>
        <w:t>Nobre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Davis P, </w:t>
      </w:r>
      <w:proofErr w:type="spellStart"/>
      <w:r>
        <w:rPr>
          <w:rFonts w:ascii="Times New Roman" w:hAnsi="Times New Roman" w:cs="Times New Roman"/>
          <w:sz w:val="24"/>
          <w:szCs w:val="24"/>
        </w:rPr>
        <w:t>Schmolzer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Georg, Ovelman C,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Soll R,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International Liaison Committee on Resuscitation Neonatal Life Support Task Force; Umbilical Cord Management at Preterm Birth (&lt;34 weeks); Systematic Review and Meta-Analysis. Pediatrics forthcoming. </w:t>
      </w:r>
    </w:p>
    <w:p w14:paraId="5BD52C76" w14:textId="00D9C014" w:rsidR="00EA3042" w:rsidRDefault="00EA3042" w:rsidP="00BB17D3">
      <w:pPr>
        <w:rPr>
          <w:rFonts w:ascii="Times New Roman" w:hAnsi="Times New Roman" w:cs="Times New Roman"/>
          <w:sz w:val="24"/>
          <w:szCs w:val="24"/>
        </w:rPr>
      </w:pPr>
      <w:r w:rsidRPr="00BB17D3">
        <w:rPr>
          <w:rFonts w:ascii="Times New Roman" w:hAnsi="Times New Roman" w:cs="Times New Roman"/>
          <w:sz w:val="24"/>
          <w:szCs w:val="24"/>
        </w:rPr>
        <w:t>Soar J, Maconochie I, Wyckoff MH, et al. 2019 International Consensus on Cardiopulmonary Resuscitation and Emergency Cardiovascular Care Science With Treatment Recommendations: Summary From the Basic Life Support; Advanced Life Support; Pediatric Life Support; Neonatal Life Support; Education, Implementation, and Teams; and First Aid Task Forces. Circulation. 2019;140(24):e826–e880. doi:10.1161/CIR.0000000000000734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01F87" w14:textId="52435797" w:rsidR="00BB17D3" w:rsidRPr="00BB17D3" w:rsidRDefault="00BB17D3" w:rsidP="00BB17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17D3">
        <w:rPr>
          <w:rFonts w:ascii="Times New Roman" w:hAnsi="Times New Roman" w:cs="Times New Roman"/>
          <w:sz w:val="24"/>
          <w:szCs w:val="24"/>
        </w:rPr>
        <w:t>Welsford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M, Nishiyama C,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Shortt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C, Weiner G,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Roehr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Isayama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T, Dawson JA, Wyckoff MH, Rabi Y; International Liaison Committee on Resuscitation Neonatal Life Support Task </w:t>
      </w:r>
      <w:r w:rsidRPr="00BB17D3">
        <w:rPr>
          <w:rFonts w:ascii="Times New Roman" w:hAnsi="Times New Roman" w:cs="Times New Roman"/>
          <w:sz w:val="24"/>
          <w:szCs w:val="24"/>
        </w:rPr>
        <w:lastRenderedPageBreak/>
        <w:t xml:space="preserve">Force. Initial Oxygen Use for Preterm Newborn Resuscitation: A Systematic Review With Meta-analysis. Pediatrics. 2019 Jan;143(1).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pii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: e20181828.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>: 10.1542/peds.2018-1828.</w:t>
      </w:r>
    </w:p>
    <w:p w14:paraId="3BC742E8" w14:textId="3ED131FB" w:rsidR="00BB17D3" w:rsidRDefault="00BB17D3" w:rsidP="00BB17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B17D3">
        <w:rPr>
          <w:rFonts w:ascii="Times New Roman" w:hAnsi="Times New Roman" w:cs="Times New Roman"/>
          <w:sz w:val="24"/>
          <w:szCs w:val="24"/>
        </w:rPr>
        <w:t>Welsford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M, Nishiyama C,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Shortt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Isayama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T, Dawson JA, Weiner G,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Roehr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 CC, Wyckoff MH, Rabi Y; International Liaison Committee on Resuscitation Neonatal Life Support Task Force. Room Air for Initiating Term Newborn Resuscitation: A Systematic Review With Meta-analysis. Pediatrics. 2019 Jan;143(1).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pii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: e20181825. </w:t>
      </w:r>
      <w:proofErr w:type="spellStart"/>
      <w:r w:rsidRPr="00BB17D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BB17D3">
        <w:rPr>
          <w:rFonts w:ascii="Times New Roman" w:hAnsi="Times New Roman" w:cs="Times New Roman"/>
          <w:sz w:val="24"/>
          <w:szCs w:val="24"/>
        </w:rPr>
        <w:t xml:space="preserve">: 10.1542/peds.2018-1825. </w:t>
      </w:r>
    </w:p>
    <w:sectPr w:rsidR="00BB17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CD5FB" w14:textId="77777777" w:rsidR="00875F6E" w:rsidRDefault="00875F6E" w:rsidP="00875F6E">
      <w:pPr>
        <w:spacing w:after="0" w:line="240" w:lineRule="auto"/>
      </w:pPr>
      <w:r>
        <w:separator/>
      </w:r>
    </w:p>
  </w:endnote>
  <w:endnote w:type="continuationSeparator" w:id="0">
    <w:p w14:paraId="1B29A883" w14:textId="77777777" w:rsidR="00875F6E" w:rsidRDefault="00875F6E" w:rsidP="0087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411B1" w14:textId="77777777" w:rsidR="00875F6E" w:rsidRDefault="00875F6E" w:rsidP="00875F6E">
      <w:pPr>
        <w:spacing w:after="0" w:line="240" w:lineRule="auto"/>
      </w:pPr>
      <w:r>
        <w:separator/>
      </w:r>
    </w:p>
  </w:footnote>
  <w:footnote w:type="continuationSeparator" w:id="0">
    <w:p w14:paraId="40317B50" w14:textId="77777777" w:rsidR="00875F6E" w:rsidRDefault="00875F6E" w:rsidP="0087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7825A" w14:textId="4EF7401A" w:rsidR="00875F6E" w:rsidRDefault="00875F6E">
    <w:pPr>
      <w:pStyle w:val="Header"/>
    </w:pPr>
    <w:r>
      <w:rPr>
        <w:rFonts w:ascii="Source Sans Pro SemiBold" w:hAnsi="Source Sans Pro SemiBold"/>
        <w:noProof/>
        <w:color w:val="44546A" w:themeColor="text2"/>
      </w:rPr>
      <w:drawing>
        <wp:anchor distT="0" distB="0" distL="114300" distR="114300" simplePos="0" relativeHeight="251659264" behindDoc="0" locked="0" layoutInCell="1" allowOverlap="1" wp14:anchorId="7E63110A" wp14:editId="400C9B1D">
          <wp:simplePos x="0" y="0"/>
          <wp:positionH relativeFrom="margin">
            <wp:align>left</wp:align>
          </wp:positionH>
          <wp:positionV relativeFrom="topMargin">
            <wp:posOffset>200025</wp:posOffset>
          </wp:positionV>
          <wp:extent cx="1554480" cy="530352"/>
          <wp:effectExtent l="0" t="0" r="762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3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EA4C64"/>
    <w:multiLevelType w:val="hybridMultilevel"/>
    <w:tmpl w:val="D90A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6E"/>
    <w:rsid w:val="002D068A"/>
    <w:rsid w:val="007F14AF"/>
    <w:rsid w:val="00875F6E"/>
    <w:rsid w:val="009750C6"/>
    <w:rsid w:val="00BB17D3"/>
    <w:rsid w:val="00E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8678"/>
  <w15:chartTrackingRefBased/>
  <w15:docId w15:val="{A8C175F1-6941-4A92-A2CD-107698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6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F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F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5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6E"/>
  </w:style>
  <w:style w:type="paragraph" w:styleId="Footer">
    <w:name w:val="footer"/>
    <w:basedOn w:val="Normal"/>
    <w:link w:val="FooterChar"/>
    <w:uiPriority w:val="99"/>
    <w:unhideWhenUsed/>
    <w:rsid w:val="00875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6E"/>
  </w:style>
  <w:style w:type="character" w:styleId="Strong">
    <w:name w:val="Strong"/>
    <w:basedOn w:val="DefaultParagraphFont"/>
    <w:uiPriority w:val="22"/>
    <w:qFormat/>
    <w:rsid w:val="00875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interactivelearning/module-5-introduction-study-quality-and-risk-b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ining.cochrane.org/grade-appro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Ovelman</dc:creator>
  <cp:keywords/>
  <dc:description/>
  <cp:lastModifiedBy>Clare LaFrance</cp:lastModifiedBy>
  <cp:revision>4</cp:revision>
  <dcterms:created xsi:type="dcterms:W3CDTF">2020-07-24T18:43:00Z</dcterms:created>
  <dcterms:modified xsi:type="dcterms:W3CDTF">2021-01-25T18:30:00Z</dcterms:modified>
</cp:coreProperties>
</file>