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630B1" w14:textId="77777777" w:rsidR="00A85ED4" w:rsidRPr="000724E1" w:rsidRDefault="00A85ED4" w:rsidP="00A85ED4">
      <w:pPr>
        <w:rPr>
          <w:rFonts w:ascii="Times" w:eastAsia="Times" w:hAnsi="Times" w:cs="Times"/>
          <w:b/>
          <w:bCs/>
          <w:sz w:val="24"/>
          <w:szCs w:val="24"/>
        </w:rPr>
      </w:pPr>
      <w:r w:rsidRPr="393C9669">
        <w:rPr>
          <w:rFonts w:ascii="Times" w:eastAsia="Times" w:hAnsi="Times" w:cs="Times"/>
          <w:b/>
          <w:bCs/>
          <w:sz w:val="24"/>
          <w:szCs w:val="24"/>
        </w:rPr>
        <w:t>Evidence in practice: Choosing the best feeds for preterm infants</w:t>
      </w:r>
    </w:p>
    <w:p w14:paraId="6C65B38D" w14:textId="4E7535AE" w:rsidR="00B461F5" w:rsidRDefault="00A85ED4" w:rsidP="00A85ED4">
      <w:pPr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eastAsia="Times" w:hAnsi="Times" w:cs="Times"/>
          <w:b/>
          <w:bCs/>
          <w:sz w:val="24"/>
          <w:szCs w:val="24"/>
        </w:rPr>
        <w:t>Included Cases (Systematic Reviews)</w:t>
      </w:r>
    </w:p>
    <w:p w14:paraId="57A5A198" w14:textId="668EFD8F" w:rsidR="00A85ED4" w:rsidRPr="00DA796C" w:rsidRDefault="00A85ED4" w:rsidP="00A85ED4">
      <w:pPr>
        <w:shd w:val="clear" w:color="auto" w:fill="FFFFFF" w:themeFill="background1"/>
        <w:rPr>
          <w:rFonts w:ascii="Times" w:eastAsia="Times" w:hAnsi="Times" w:cs="Times"/>
          <w:sz w:val="24"/>
          <w:szCs w:val="24"/>
        </w:rPr>
      </w:pPr>
      <w:r w:rsidRPr="393C9669">
        <w:rPr>
          <w:rFonts w:ascii="Times" w:eastAsia="Times" w:hAnsi="Times" w:cs="Times"/>
          <w:sz w:val="24"/>
          <w:szCs w:val="24"/>
        </w:rPr>
        <w:t xml:space="preserve">Hay. </w:t>
      </w:r>
      <w:hyperlink r:id="rId6" w:history="1">
        <w:r w:rsidRPr="007B70B3">
          <w:rPr>
            <w:rStyle w:val="Hyperlink"/>
            <w:rFonts w:ascii="Times" w:eastAsia="Times" w:hAnsi="Times" w:cs="Times"/>
            <w:sz w:val="24"/>
            <w:szCs w:val="24"/>
          </w:rPr>
          <w:t>Strategies for feeding the preterm infant</w:t>
        </w:r>
      </w:hyperlink>
      <w:r w:rsidRPr="393C9669">
        <w:rPr>
          <w:rFonts w:ascii="Times" w:eastAsia="Times" w:hAnsi="Times" w:cs="Times"/>
          <w:sz w:val="24"/>
          <w:szCs w:val="24"/>
        </w:rPr>
        <w:t xml:space="preserve">. Neonatology. 2008. 94(4): 245-54. DOI: </w:t>
      </w:r>
      <w:hyperlink r:id="rId7">
        <w:r w:rsidRPr="393C9669">
          <w:rPr>
            <w:rFonts w:ascii="Times" w:eastAsia="Times" w:hAnsi="Times" w:cs="Times"/>
            <w:sz w:val="24"/>
            <w:szCs w:val="24"/>
            <w:u w:val="single"/>
          </w:rPr>
          <w:t>10.1159/000151643</w:t>
        </w:r>
      </w:hyperlink>
    </w:p>
    <w:p w14:paraId="7D2E22D0" w14:textId="12AA39CF" w:rsidR="00A85ED4" w:rsidRPr="000724E1" w:rsidRDefault="00A85ED4" w:rsidP="00A85ED4">
      <w:pPr>
        <w:shd w:val="clear" w:color="auto" w:fill="FFFFFF" w:themeFill="background1"/>
        <w:rPr>
          <w:rFonts w:ascii="Times" w:eastAsia="Times" w:hAnsi="Times" w:cs="Times"/>
          <w:sz w:val="24"/>
          <w:szCs w:val="24"/>
        </w:rPr>
      </w:pPr>
      <w:r w:rsidRPr="393C9669">
        <w:rPr>
          <w:rFonts w:ascii="Times" w:eastAsia="Times" w:hAnsi="Times" w:cs="Times"/>
          <w:sz w:val="24"/>
          <w:szCs w:val="24"/>
        </w:rPr>
        <w:t xml:space="preserve">Quigley and colleagues. </w:t>
      </w:r>
      <w:hyperlink r:id="rId8" w:history="1">
        <w:r w:rsidRPr="007B70B3">
          <w:rPr>
            <w:rStyle w:val="Hyperlink"/>
            <w:rFonts w:ascii="Times" w:eastAsia="Times" w:hAnsi="Times" w:cs="Times"/>
            <w:sz w:val="24"/>
            <w:szCs w:val="24"/>
          </w:rPr>
          <w:t>Formula versus donor breast milk for feeding preterm or low birth weight infants</w:t>
        </w:r>
      </w:hyperlink>
      <w:r w:rsidRPr="393C9669">
        <w:rPr>
          <w:rFonts w:ascii="Times" w:eastAsia="Times" w:hAnsi="Times" w:cs="Times"/>
          <w:sz w:val="24"/>
          <w:szCs w:val="24"/>
        </w:rPr>
        <w:t xml:space="preserve">. Cochrane Database of Systematic Reviews. 2019. 7. DOI: </w:t>
      </w:r>
      <w:hyperlink r:id="rId9">
        <w:r w:rsidRPr="393C9669">
          <w:rPr>
            <w:rFonts w:ascii="Times" w:eastAsia="Times" w:hAnsi="Times" w:cs="Times"/>
            <w:sz w:val="24"/>
            <w:szCs w:val="24"/>
            <w:u w:val="single"/>
          </w:rPr>
          <w:t>10.1002/14651858.CD002971.pub5</w:t>
        </w:r>
      </w:hyperlink>
    </w:p>
    <w:p w14:paraId="6DFA85EA" w14:textId="421024FA" w:rsidR="00A85ED4" w:rsidRPr="000724E1" w:rsidRDefault="00A85ED4" w:rsidP="00A85ED4">
      <w:pPr>
        <w:shd w:val="clear" w:color="auto" w:fill="FFFFFF" w:themeFill="background1"/>
        <w:rPr>
          <w:rFonts w:ascii="Times" w:eastAsia="Times" w:hAnsi="Times" w:cs="Times"/>
          <w:sz w:val="24"/>
          <w:szCs w:val="24"/>
        </w:rPr>
      </w:pPr>
      <w:r w:rsidRPr="393C9669">
        <w:rPr>
          <w:rFonts w:ascii="Times" w:eastAsia="Times" w:hAnsi="Times" w:cs="Times"/>
          <w:sz w:val="24"/>
          <w:szCs w:val="24"/>
        </w:rPr>
        <w:t xml:space="preserve">Dempsey and colleagues. </w:t>
      </w:r>
      <w:hyperlink r:id="rId10" w:history="1">
        <w:r w:rsidRPr="007B70B3">
          <w:rPr>
            <w:rStyle w:val="Hyperlink"/>
            <w:rFonts w:ascii="Times" w:eastAsia="Times" w:hAnsi="Times" w:cs="Times"/>
            <w:sz w:val="24"/>
            <w:szCs w:val="24"/>
          </w:rPr>
          <w:t>Banked preterm versus banked term human milk to promote growth and development in very low birth weight infants</w:t>
        </w:r>
      </w:hyperlink>
      <w:r w:rsidRPr="393C9669">
        <w:rPr>
          <w:rFonts w:ascii="Times" w:eastAsia="Times" w:hAnsi="Times" w:cs="Times"/>
          <w:sz w:val="24"/>
          <w:szCs w:val="24"/>
        </w:rPr>
        <w:t xml:space="preserve">. Cochrane Database of Systematic Reviews. 2019. 6. DOI: </w:t>
      </w:r>
      <w:hyperlink r:id="rId11">
        <w:r w:rsidRPr="393C9669">
          <w:rPr>
            <w:rFonts w:ascii="Times" w:eastAsia="Times" w:hAnsi="Times" w:cs="Times"/>
            <w:sz w:val="24"/>
            <w:szCs w:val="24"/>
            <w:u w:val="single"/>
          </w:rPr>
          <w:t>10.1002/14651858.CD007644.pub3</w:t>
        </w:r>
      </w:hyperlink>
    </w:p>
    <w:p w14:paraId="3EF041B1" w14:textId="549090D2" w:rsidR="00A85ED4" w:rsidRPr="000724E1" w:rsidRDefault="00A85ED4" w:rsidP="00A85ED4">
      <w:pPr>
        <w:shd w:val="clear" w:color="auto" w:fill="FFFFFF" w:themeFill="background1"/>
        <w:rPr>
          <w:rFonts w:ascii="Times" w:eastAsia="Times" w:hAnsi="Times" w:cs="Times"/>
          <w:sz w:val="24"/>
          <w:szCs w:val="24"/>
        </w:rPr>
      </w:pPr>
      <w:r w:rsidRPr="393C9669">
        <w:rPr>
          <w:rFonts w:ascii="Times" w:eastAsia="Times" w:hAnsi="Times" w:cs="Times"/>
          <w:sz w:val="24"/>
          <w:szCs w:val="24"/>
        </w:rPr>
        <w:t xml:space="preserve">Basuki and colleagues. </w:t>
      </w:r>
      <w:hyperlink r:id="rId12" w:history="1">
        <w:r w:rsidRPr="001F2A2F">
          <w:rPr>
            <w:rStyle w:val="Hyperlink"/>
            <w:rFonts w:ascii="Times" w:eastAsia="Times" w:hAnsi="Times" w:cs="Times"/>
            <w:sz w:val="24"/>
            <w:szCs w:val="24"/>
          </w:rPr>
          <w:t>Dilute versus full stre</w:t>
        </w:r>
        <w:r w:rsidRPr="001F2A2F">
          <w:rPr>
            <w:rStyle w:val="Hyperlink"/>
            <w:rFonts w:ascii="Times" w:eastAsia="Times" w:hAnsi="Times" w:cs="Times"/>
            <w:sz w:val="24"/>
            <w:szCs w:val="24"/>
          </w:rPr>
          <w:t>n</w:t>
        </w:r>
        <w:r w:rsidRPr="001F2A2F">
          <w:rPr>
            <w:rStyle w:val="Hyperlink"/>
            <w:rFonts w:ascii="Times" w:eastAsia="Times" w:hAnsi="Times" w:cs="Times"/>
            <w:sz w:val="24"/>
            <w:szCs w:val="24"/>
          </w:rPr>
          <w:t>gth formula in exclusively formula-fed preterm or low birth weight infants</w:t>
        </w:r>
      </w:hyperlink>
      <w:r w:rsidRPr="393C9669">
        <w:rPr>
          <w:rFonts w:ascii="Times" w:eastAsia="Times" w:hAnsi="Times" w:cs="Times"/>
          <w:sz w:val="24"/>
          <w:szCs w:val="24"/>
        </w:rPr>
        <w:t xml:space="preserve">. Cochrane Database of Systematic Reviews. 2019. 6. DOI: </w:t>
      </w:r>
      <w:hyperlink r:id="rId13">
        <w:r w:rsidRPr="393C9669">
          <w:rPr>
            <w:rFonts w:ascii="Times" w:eastAsia="Times" w:hAnsi="Times" w:cs="Times"/>
            <w:sz w:val="24"/>
            <w:szCs w:val="24"/>
            <w:u w:val="single"/>
          </w:rPr>
          <w:t>10.1002/14651858.CD007263.pub3</w:t>
        </w:r>
      </w:hyperlink>
    </w:p>
    <w:p w14:paraId="2214FB7E" w14:textId="1804367D" w:rsidR="00A85ED4" w:rsidRPr="000724E1" w:rsidRDefault="00A85ED4" w:rsidP="00A85ED4">
      <w:pPr>
        <w:shd w:val="clear" w:color="auto" w:fill="FFFFFF" w:themeFill="background1"/>
        <w:rPr>
          <w:rFonts w:ascii="Times" w:eastAsia="Times" w:hAnsi="Times" w:cs="Times"/>
          <w:sz w:val="24"/>
          <w:szCs w:val="24"/>
        </w:rPr>
      </w:pPr>
      <w:r w:rsidRPr="393C9669">
        <w:rPr>
          <w:rFonts w:ascii="Times" w:eastAsia="Times" w:hAnsi="Times" w:cs="Times"/>
          <w:sz w:val="24"/>
          <w:szCs w:val="24"/>
          <w:shd w:val="clear" w:color="auto" w:fill="FFFFFF"/>
        </w:rPr>
        <w:t xml:space="preserve">Walsh and colleagues. </w:t>
      </w:r>
      <w:hyperlink r:id="rId14" w:history="1">
        <w:r w:rsidRPr="008C1195">
          <w:rPr>
            <w:rStyle w:val="Hyperlink"/>
            <w:rFonts w:ascii="Times" w:eastAsia="Times" w:hAnsi="Times" w:cs="Times"/>
            <w:sz w:val="24"/>
            <w:szCs w:val="24"/>
            <w:shd w:val="clear" w:color="auto" w:fill="FFFFFF"/>
          </w:rPr>
          <w:t>Nutrient-enriched formula versus standard formula for preterm infants</w:t>
        </w:r>
      </w:hyperlink>
      <w:r w:rsidRPr="393C9669">
        <w:rPr>
          <w:rFonts w:ascii="Times" w:eastAsia="Times" w:hAnsi="Times" w:cs="Times"/>
          <w:sz w:val="24"/>
          <w:szCs w:val="24"/>
          <w:shd w:val="clear" w:color="auto" w:fill="FFFFFF"/>
        </w:rPr>
        <w:t xml:space="preserve">. </w:t>
      </w:r>
      <w:r w:rsidRPr="393C9669">
        <w:rPr>
          <w:rFonts w:ascii="Times" w:eastAsia="Times" w:hAnsi="Times" w:cs="Times"/>
          <w:sz w:val="24"/>
          <w:szCs w:val="24"/>
        </w:rPr>
        <w:t xml:space="preserve">Cochrane Database of Systematic Reviews. 2019. 7. DOI: </w:t>
      </w:r>
      <w:hyperlink r:id="rId15" w:tgtFrame="_blank" w:history="1">
        <w:r w:rsidRPr="393C9669">
          <w:rPr>
            <w:rFonts w:ascii="Times" w:eastAsia="Times" w:hAnsi="Times" w:cs="Times"/>
            <w:sz w:val="24"/>
            <w:szCs w:val="24"/>
            <w:u w:val="single"/>
          </w:rPr>
          <w:t>10.1002/14651858.CD004204.pub3</w:t>
        </w:r>
      </w:hyperlink>
    </w:p>
    <w:p w14:paraId="019926B6" w14:textId="1515F1F5" w:rsidR="00A85ED4" w:rsidRDefault="00A85ED4" w:rsidP="00A85ED4">
      <w:r w:rsidRPr="393C9669">
        <w:rPr>
          <w:rFonts w:ascii="Times" w:eastAsia="Times" w:hAnsi="Times" w:cs="Times"/>
          <w:sz w:val="24"/>
          <w:szCs w:val="24"/>
        </w:rPr>
        <w:t xml:space="preserve">Ng and colleagues. </w:t>
      </w:r>
      <w:hyperlink r:id="rId16" w:history="1">
        <w:r w:rsidRPr="008C1195">
          <w:rPr>
            <w:rStyle w:val="Hyperlink"/>
            <w:rFonts w:ascii="Times" w:eastAsia="Times" w:hAnsi="Times" w:cs="Times"/>
            <w:sz w:val="24"/>
            <w:szCs w:val="24"/>
          </w:rPr>
          <w:t>Protein hydrolysate versus standard formula for preterm infants</w:t>
        </w:r>
      </w:hyperlink>
      <w:bookmarkStart w:id="0" w:name="_GoBack"/>
      <w:bookmarkEnd w:id="0"/>
      <w:r w:rsidRPr="393C9669">
        <w:rPr>
          <w:rFonts w:ascii="Times" w:eastAsia="Times" w:hAnsi="Times" w:cs="Times"/>
          <w:sz w:val="24"/>
          <w:szCs w:val="24"/>
        </w:rPr>
        <w:t xml:space="preserve">. Cochrane Database of Systematic Reviews. 2019. 7. DOI: </w:t>
      </w:r>
      <w:hyperlink r:id="rId17">
        <w:r w:rsidRPr="393C9669">
          <w:rPr>
            <w:rFonts w:ascii="Times" w:eastAsia="Times" w:hAnsi="Times" w:cs="Times"/>
            <w:sz w:val="24"/>
            <w:szCs w:val="24"/>
            <w:u w:val="single"/>
          </w:rPr>
          <w:t>10.1002/14651858.CD012412.pub3</w:t>
        </w:r>
      </w:hyperlink>
      <w:r w:rsidRPr="393C9669">
        <w:rPr>
          <w:rFonts w:ascii="Times" w:eastAsia="Times" w:hAnsi="Times" w:cs="Times"/>
          <w:sz w:val="24"/>
          <w:szCs w:val="24"/>
        </w:rPr>
        <w:t>.</w:t>
      </w:r>
    </w:p>
    <w:sectPr w:rsidR="00A85ED4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0981B" w14:textId="77777777" w:rsidR="00A85ED4" w:rsidRDefault="00A85ED4" w:rsidP="00A85ED4">
      <w:pPr>
        <w:spacing w:after="0" w:line="240" w:lineRule="auto"/>
      </w:pPr>
      <w:r>
        <w:separator/>
      </w:r>
    </w:p>
  </w:endnote>
  <w:endnote w:type="continuationSeparator" w:id="0">
    <w:p w14:paraId="5FEE3939" w14:textId="77777777" w:rsidR="00A85ED4" w:rsidRDefault="00A85ED4" w:rsidP="00A8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22B94" w14:textId="77777777" w:rsidR="00A85ED4" w:rsidRDefault="00A85ED4" w:rsidP="00A85ED4">
      <w:pPr>
        <w:spacing w:after="0" w:line="240" w:lineRule="auto"/>
      </w:pPr>
      <w:r>
        <w:separator/>
      </w:r>
    </w:p>
  </w:footnote>
  <w:footnote w:type="continuationSeparator" w:id="0">
    <w:p w14:paraId="05A33C98" w14:textId="77777777" w:rsidR="00A85ED4" w:rsidRDefault="00A85ED4" w:rsidP="00A8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EEB17" w14:textId="706EC18E" w:rsidR="00A85ED4" w:rsidRPr="00DA796C" w:rsidRDefault="00A85ED4" w:rsidP="00A85ED4">
    <w:pPr>
      <w:pStyle w:val="Header"/>
      <w:rPr>
        <w:rFonts w:ascii="Times New Roman" w:hAnsi="Times New Roman" w:cs="Times New Roman"/>
        <w:sz w:val="24"/>
        <w:szCs w:val="24"/>
      </w:rPr>
    </w:pPr>
    <w:r w:rsidRPr="00DA796C">
      <w:rPr>
        <w:rFonts w:ascii="Times New Roman" w:hAnsi="Times New Roman" w:cs="Times New Roman"/>
        <w:sz w:val="24"/>
        <w:szCs w:val="24"/>
      </w:rPr>
      <w:t>Cochrane Neonatal December 2020 Webinar</w:t>
    </w:r>
  </w:p>
  <w:p w14:paraId="50B3D081" w14:textId="0423E758" w:rsidR="00A85ED4" w:rsidRDefault="00A85ED4">
    <w:pPr>
      <w:pStyle w:val="Header"/>
    </w:pPr>
  </w:p>
  <w:p w14:paraId="01EEAE03" w14:textId="77777777" w:rsidR="00A85ED4" w:rsidRDefault="00A85E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36"/>
    <w:rsid w:val="001F2A2F"/>
    <w:rsid w:val="00594236"/>
    <w:rsid w:val="007B70B3"/>
    <w:rsid w:val="007C03BA"/>
    <w:rsid w:val="008C1195"/>
    <w:rsid w:val="00A85ED4"/>
    <w:rsid w:val="00B4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4C893"/>
  <w15:chartTrackingRefBased/>
  <w15:docId w15:val="{915BE06A-F15D-4748-96FA-78845DF6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5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ED4"/>
  </w:style>
  <w:style w:type="paragraph" w:styleId="Footer">
    <w:name w:val="footer"/>
    <w:basedOn w:val="Normal"/>
    <w:link w:val="FooterChar"/>
    <w:uiPriority w:val="99"/>
    <w:unhideWhenUsed/>
    <w:rsid w:val="00A85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ED4"/>
  </w:style>
  <w:style w:type="character" w:styleId="Hyperlink">
    <w:name w:val="Hyperlink"/>
    <w:basedOn w:val="DefaultParagraphFont"/>
    <w:uiPriority w:val="99"/>
    <w:unhideWhenUsed/>
    <w:rsid w:val="007B70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70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03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vtoxford.org/wp-content/themes/von-2019/wiley-cochrane-script.php?specificReview=10.1002/14651858.CD002971.pub5/full" TargetMode="External"/><Relationship Id="rId13" Type="http://schemas.openxmlformats.org/officeDocument/2006/relationships/hyperlink" Target="https://doi.org/10.1002/14651858.CD007263.pub3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59/000151643" TargetMode="External"/><Relationship Id="rId12" Type="http://schemas.openxmlformats.org/officeDocument/2006/relationships/hyperlink" Target="https://public.vtoxford.org/wp-content/themes/von-2019/wiley-cochrane-script.php?specificReview=10.1002/14651858.CD007263.pub3/full" TargetMode="External"/><Relationship Id="rId17" Type="http://schemas.openxmlformats.org/officeDocument/2006/relationships/hyperlink" Target="https://doi.org/10.1002/14651858.CD012412.pub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ublic.vtoxford.org/wp-content/themes/von-2019/wiley-cochrane-script.php?specificReview=10.1002/14651858.CD012412.pub3/ful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karger.com/Article/Pdf/151643" TargetMode="External"/><Relationship Id="rId11" Type="http://schemas.openxmlformats.org/officeDocument/2006/relationships/hyperlink" Target="https://doi.org/10.1002/14651858.CD007644.pub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i.org/10.1002/14651858.CD004204.pub3" TargetMode="External"/><Relationship Id="rId10" Type="http://schemas.openxmlformats.org/officeDocument/2006/relationships/hyperlink" Target="https://public.vtoxford.org/wp-content/themes/von-2019/wiley-cochrane-script.php?specificReview=10.1002/14651858.CD007644.pub3/ful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i.org/10.1002/14651858.CD002971.pub5" TargetMode="External"/><Relationship Id="rId14" Type="http://schemas.openxmlformats.org/officeDocument/2006/relationships/hyperlink" Target="https://public.vtoxford.org/wp-content/themes/von-2019/wiley-cochrane-script.php?specificReview=10.1002/14651858.CD004204.pub3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Vermont Oxford Network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LaFrance</dc:creator>
  <cp:keywords/>
  <dc:description/>
  <cp:lastModifiedBy>Clare LaFrance</cp:lastModifiedBy>
  <cp:revision>6</cp:revision>
  <dcterms:created xsi:type="dcterms:W3CDTF">2020-04-01T19:13:00Z</dcterms:created>
  <dcterms:modified xsi:type="dcterms:W3CDTF">2020-04-10T18:21:00Z</dcterms:modified>
</cp:coreProperties>
</file>