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84C48" w14:textId="77777777" w:rsidR="002D74B9" w:rsidRDefault="002D74B9" w:rsidP="002D74B9">
      <w:pPr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14:paraId="0BE51FD6" w14:textId="5F0D158C" w:rsidR="001139BF" w:rsidRDefault="001139BF" w:rsidP="002D74B9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1139BF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Webinar: </w:t>
      </w:r>
      <w:r w:rsidR="002D74B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Evidence in Practice: Probiotics for preterm infants</w:t>
      </w:r>
    </w:p>
    <w:p w14:paraId="14008A9B" w14:textId="4B569B29" w:rsidR="002D74B9" w:rsidRDefault="002D74B9" w:rsidP="002D74B9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September 2020</w:t>
      </w:r>
    </w:p>
    <w:p w14:paraId="75CAA4D7" w14:textId="77777777" w:rsidR="002D74B9" w:rsidRDefault="002D74B9" w:rsidP="001139BF">
      <w:pPr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14:paraId="168CD42A" w14:textId="7B8343BD" w:rsidR="001139BF" w:rsidRDefault="001139BF" w:rsidP="001139BF">
      <w:pPr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Included case</w:t>
      </w:r>
      <w:r w:rsidR="002D74B9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and additional materials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="002D74B9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live webinar:</w:t>
      </w:r>
    </w:p>
    <w:p w14:paraId="377B7DDF" w14:textId="69E03963" w:rsidR="002D74B9" w:rsidRDefault="002D74B9" w:rsidP="002D74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 xml:space="preserve">Morgan RL, et al. Probiotics Reduce Mortality and Morbidity in Preterm, Low-Birth-Weight Infants: A Systematic Review and Network Meta-analysis of Randomized Trials. Gastroenterology. 2020;159(2):467-80). </w:t>
      </w:r>
    </w:p>
    <w:p w14:paraId="5A068B3E" w14:textId="77777777" w:rsidR="002D74B9" w:rsidRPr="002D74B9" w:rsidRDefault="002D74B9" w:rsidP="002D74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798A72F" w14:textId="4818A22A" w:rsidR="002D74B9" w:rsidRPr="002D74B9" w:rsidRDefault="002D74B9" w:rsidP="002D74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Deshpande GC, Rao SC, Keil AD, </w:t>
      </w:r>
      <w:proofErr w:type="spellStart"/>
      <w:r w:rsidRPr="002D74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Patole</w:t>
      </w:r>
      <w:proofErr w:type="spellEnd"/>
      <w:r w:rsidRPr="002D74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SK. Evidence-based guidelines for use of probiotics in preterm neonates. </w:t>
      </w:r>
      <w:r w:rsidRPr="002D74B9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BMC Med</w:t>
      </w:r>
      <w:r w:rsidRPr="002D74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gramStart"/>
      <w:r w:rsidRPr="002D74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2011;9:92</w:t>
      </w:r>
      <w:proofErr w:type="gramEnd"/>
      <w:r w:rsidRPr="002D74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Published 2011 Aug 2. doi:10.1186/1741-7015-9-92</w:t>
      </w:r>
    </w:p>
    <w:p w14:paraId="70C4DBA4" w14:textId="77777777" w:rsidR="002D74B9" w:rsidRPr="002D74B9" w:rsidRDefault="002D74B9" w:rsidP="002D74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11FA86" w14:textId="77777777" w:rsidR="002D74B9" w:rsidRPr="002D74B9" w:rsidRDefault="002D74B9" w:rsidP="002D74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6528160" w14:textId="37B9B1A1" w:rsidR="002D74B9" w:rsidRPr="002D74B9" w:rsidRDefault="002D74B9" w:rsidP="002D74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 xml:space="preserve">Keith Barrington’s blog: </w:t>
      </w:r>
      <w:hyperlink r:id="rId7" w:history="1">
        <w:r w:rsidRPr="002D74B9">
          <w:rPr>
            <w:rStyle w:val="Hyperlink"/>
            <w:rFonts w:ascii="Times New Roman" w:hAnsi="Times New Roman" w:cs="Times New Roman"/>
            <w:sz w:val="24"/>
            <w:szCs w:val="24"/>
          </w:rPr>
          <w:t>https://neonatalresearch.org/2020/08/24/probiotics-save-the-lives-or-preterm-infants-find-a-reliable-source/</w:t>
        </w:r>
      </w:hyperlink>
    </w:p>
    <w:p w14:paraId="20A3C5A5" w14:textId="3BCCB654" w:rsidR="001139BF" w:rsidRPr="001139BF" w:rsidRDefault="001139BF" w:rsidP="002D74B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F896C19" w14:textId="77777777" w:rsidR="00CF24AF" w:rsidRPr="001139BF" w:rsidRDefault="002D74B9">
      <w:pPr>
        <w:rPr>
          <w:sz w:val="24"/>
          <w:szCs w:val="24"/>
        </w:rPr>
      </w:pPr>
    </w:p>
    <w:sectPr w:rsidR="00CF24AF" w:rsidRPr="001139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FFC07" w14:textId="77777777" w:rsidR="001139BF" w:rsidRDefault="001139BF" w:rsidP="001139BF">
      <w:pPr>
        <w:spacing w:after="0" w:line="240" w:lineRule="auto"/>
      </w:pPr>
      <w:r>
        <w:separator/>
      </w:r>
    </w:p>
  </w:endnote>
  <w:endnote w:type="continuationSeparator" w:id="0">
    <w:p w14:paraId="6492B4F8" w14:textId="77777777" w:rsidR="001139BF" w:rsidRDefault="001139BF" w:rsidP="0011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5F2BA" w14:textId="77777777" w:rsidR="001139BF" w:rsidRDefault="001139BF" w:rsidP="001139BF">
      <w:pPr>
        <w:spacing w:after="0" w:line="240" w:lineRule="auto"/>
      </w:pPr>
      <w:r>
        <w:separator/>
      </w:r>
    </w:p>
  </w:footnote>
  <w:footnote w:type="continuationSeparator" w:id="0">
    <w:p w14:paraId="45FEE161" w14:textId="77777777" w:rsidR="001139BF" w:rsidRDefault="001139BF" w:rsidP="0011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819B0" w14:textId="040789B5" w:rsidR="001139BF" w:rsidRDefault="001139BF">
    <w:pPr>
      <w:pStyle w:val="Header"/>
    </w:pPr>
    <w:r>
      <w:rPr>
        <w:rFonts w:ascii="Source Sans Pro SemiBold" w:hAnsi="Source Sans Pro SemiBold"/>
        <w:noProof/>
        <w:color w:val="44546A" w:themeColor="text2"/>
      </w:rPr>
      <w:drawing>
        <wp:anchor distT="0" distB="0" distL="114300" distR="114300" simplePos="0" relativeHeight="251659264" behindDoc="0" locked="0" layoutInCell="1" allowOverlap="1" wp14:anchorId="303AA80A" wp14:editId="0EEA0CBD">
          <wp:simplePos x="0" y="0"/>
          <wp:positionH relativeFrom="margin">
            <wp:align>left</wp:align>
          </wp:positionH>
          <wp:positionV relativeFrom="topMargin">
            <wp:posOffset>161925</wp:posOffset>
          </wp:positionV>
          <wp:extent cx="1554480" cy="530352"/>
          <wp:effectExtent l="0" t="0" r="762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30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52D01"/>
    <w:multiLevelType w:val="hybridMultilevel"/>
    <w:tmpl w:val="7D26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1B90"/>
    <w:multiLevelType w:val="hybridMultilevel"/>
    <w:tmpl w:val="42E6E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27096"/>
    <w:multiLevelType w:val="hybridMultilevel"/>
    <w:tmpl w:val="4A9E06E4"/>
    <w:lvl w:ilvl="0" w:tplc="51884DC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0904B5"/>
    <w:multiLevelType w:val="hybridMultilevel"/>
    <w:tmpl w:val="9A923A5A"/>
    <w:lvl w:ilvl="0" w:tplc="0728E4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BF"/>
    <w:rsid w:val="001139BF"/>
    <w:rsid w:val="002D74B9"/>
    <w:rsid w:val="00594D1D"/>
    <w:rsid w:val="00710761"/>
    <w:rsid w:val="009151C9"/>
    <w:rsid w:val="00BC0936"/>
    <w:rsid w:val="00EC0BA9"/>
    <w:rsid w:val="00F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0BEC"/>
  <w15:chartTrackingRefBased/>
  <w15:docId w15:val="{20100F89-CAF0-41BF-A2D6-7173DB0F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9B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139BF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13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BF"/>
  </w:style>
  <w:style w:type="paragraph" w:styleId="Footer">
    <w:name w:val="footer"/>
    <w:basedOn w:val="Normal"/>
    <w:link w:val="FooterChar"/>
    <w:uiPriority w:val="99"/>
    <w:unhideWhenUsed/>
    <w:rsid w:val="00113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BF"/>
  </w:style>
  <w:style w:type="character" w:styleId="Strong">
    <w:name w:val="Strong"/>
    <w:basedOn w:val="DefaultParagraphFont"/>
    <w:uiPriority w:val="22"/>
    <w:qFormat/>
    <w:rsid w:val="00113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onatalresearch.org/2020/08/24/probiotics-save-the-lives-or-preterm-infants-find-a-reliable-sour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Ovelman</dc:creator>
  <cp:keywords/>
  <dc:description/>
  <cp:lastModifiedBy>Clare LaFrance</cp:lastModifiedBy>
  <cp:revision>3</cp:revision>
  <dcterms:created xsi:type="dcterms:W3CDTF">2020-09-15T18:14:00Z</dcterms:created>
  <dcterms:modified xsi:type="dcterms:W3CDTF">2020-09-15T18:21:00Z</dcterms:modified>
</cp:coreProperties>
</file>